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52" w:type="dxa"/>
        <w:jc w:val="center"/>
        <w:tblInd w:w="0" w:type="dxa"/>
        <w:tblBorders>
          <w:top w:val="none" w:sz="0" w:space="0" w:color="auto"/>
          <w:left w:val="none" w:sz="0" w:space="0" w:color="auto"/>
          <w:bottom w:val="single" w:sz="18" w:space="0" w:color="2F5496"/>
          <w:right w:val="none" w:sz="0" w:space="0" w:color="auto"/>
          <w:insideH w:val="none" w:sz="0" w:space="0" w:color="auto"/>
          <w:insideV w:val="none" w:sz="0" w:space="0" w:color="auto"/>
        </w:tblBorders>
        <w:tblLook w:val="04A0" w:firstRow="1" w:lastRow="0" w:firstColumn="1" w:lastColumn="0" w:noHBand="0" w:noVBand="1"/>
      </w:tblPr>
      <w:tblGrid>
        <w:gridCol w:w="7666"/>
        <w:gridCol w:w="2086"/>
      </w:tblGrid>
      <w:tr w:rsidR="005C4E06" w:rsidRPr="005C4E06" w14:paraId="773F3B3A" w14:textId="77777777">
        <w:trPr>
          <w:trHeight w:val="1350"/>
          <w:jc w:val="center"/>
        </w:trPr>
        <w:tc>
          <w:tcPr>
            <w:tcW w:w="7666" w:type="dxa"/>
            <w:tcBorders>
              <w:top w:val="nil"/>
              <w:left w:val="nil"/>
              <w:bottom w:val="single" w:sz="18" w:space="0" w:color="2F5496"/>
              <w:right w:val="nil"/>
            </w:tcBorders>
            <w:vAlign w:val="center"/>
            <w:hideMark/>
          </w:tcPr>
          <w:p w14:paraId="24BDE5FD" w14:textId="77777777" w:rsidR="005C4E06" w:rsidRPr="005C4E06" w:rsidRDefault="005C4E06" w:rsidP="005C4E06">
            <w:pPr>
              <w:spacing w:line="330" w:lineRule="atLeast"/>
              <w:outlineLvl w:val="0"/>
              <w:rPr>
                <w:rFonts w:ascii="Garamond" w:eastAsia="Calibri" w:hAnsi="Garamond" w:cs="Arial"/>
                <w:b/>
                <w:bCs/>
                <w:color w:val="2F5496"/>
                <w:spacing w:val="2"/>
                <w:kern w:val="36"/>
                <w:sz w:val="28"/>
                <w:szCs w:val="28"/>
              </w:rPr>
            </w:pPr>
            <w:bookmarkStart w:id="0" w:name="_GoBack"/>
            <w:bookmarkEnd w:id="0"/>
            <w:r w:rsidRPr="005C4E06">
              <w:rPr>
                <w:rFonts w:ascii="Garamond" w:eastAsia="Calibri" w:hAnsi="Garamond" w:cs="Arial"/>
                <w:b/>
                <w:bCs/>
                <w:color w:val="2F5496"/>
                <w:spacing w:val="2"/>
                <w:kern w:val="36"/>
                <w:sz w:val="28"/>
                <w:szCs w:val="28"/>
              </w:rPr>
              <w:t>An-Najah University Journal for Research – A</w:t>
            </w:r>
          </w:p>
          <w:p w14:paraId="242CD163" w14:textId="77777777" w:rsidR="005C4E06" w:rsidRPr="005C4E06" w:rsidRDefault="005C4E06" w:rsidP="005C4E06">
            <w:pPr>
              <w:spacing w:line="330" w:lineRule="atLeast"/>
              <w:outlineLvl w:val="0"/>
              <w:rPr>
                <w:rFonts w:ascii="Helvetica" w:eastAsia="Calibri" w:hAnsi="Helvetica" w:cs="Arial"/>
                <w:b/>
                <w:bCs/>
                <w:color w:val="333333"/>
                <w:spacing w:val="2"/>
                <w:kern w:val="36"/>
                <w:sz w:val="60"/>
                <w:szCs w:val="60"/>
              </w:rPr>
            </w:pPr>
            <w:r w:rsidRPr="005C4E06">
              <w:rPr>
                <w:rFonts w:ascii="Garamond" w:eastAsia="Calibri" w:hAnsi="Garamond" w:cs="Arial"/>
                <w:b/>
                <w:bCs/>
                <w:color w:val="2F5496"/>
                <w:spacing w:val="2"/>
                <w:kern w:val="36"/>
                <w:sz w:val="60"/>
                <w:szCs w:val="60"/>
              </w:rPr>
              <w:t>Natural Sciences</w:t>
            </w:r>
          </w:p>
        </w:tc>
        <w:tc>
          <w:tcPr>
            <w:tcW w:w="2086" w:type="dxa"/>
            <w:tcBorders>
              <w:top w:val="nil"/>
              <w:left w:val="nil"/>
              <w:bottom w:val="single" w:sz="18" w:space="0" w:color="2F5496"/>
              <w:right w:val="nil"/>
            </w:tcBorders>
            <w:vAlign w:val="center"/>
            <w:hideMark/>
          </w:tcPr>
          <w:p w14:paraId="66697876" w14:textId="77777777" w:rsidR="005C4E06" w:rsidRPr="005C4E06" w:rsidRDefault="005C4E06" w:rsidP="005C4E06">
            <w:pPr>
              <w:spacing w:line="330" w:lineRule="atLeast"/>
              <w:jc w:val="right"/>
              <w:outlineLvl w:val="0"/>
              <w:rPr>
                <w:rFonts w:ascii="Helvetica" w:eastAsia="Calibri" w:hAnsi="Helvetica" w:cs="Arial"/>
                <w:b/>
                <w:bCs/>
                <w:color w:val="333333"/>
                <w:spacing w:val="2"/>
                <w:kern w:val="36"/>
                <w:sz w:val="20"/>
                <w:szCs w:val="20"/>
              </w:rPr>
            </w:pPr>
            <w:r w:rsidRPr="005C4E06">
              <w:rPr>
                <w:rFonts w:ascii="Calibri" w:eastAsia="Calibri" w:hAnsi="Calibri" w:cs="Arial"/>
                <w:noProof/>
              </w:rPr>
              <w:drawing>
                <wp:inline distT="0" distB="0" distL="0" distR="0" wp14:anchorId="4FD023A5" wp14:editId="7EF44947">
                  <wp:extent cx="774700" cy="774700"/>
                  <wp:effectExtent l="0" t="0" r="6350" b="6350"/>
                  <wp:docPr id="864198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inline>
              </w:drawing>
            </w:r>
          </w:p>
        </w:tc>
      </w:tr>
    </w:tbl>
    <w:p w14:paraId="3CD302F7" w14:textId="5E66CC05" w:rsidR="005A6EFD" w:rsidRDefault="00B67A8E" w:rsidP="005C4E06">
      <w:pPr>
        <w:pStyle w:val="Title"/>
        <w:spacing w:before="240" w:after="160" w:line="360" w:lineRule="auto"/>
        <w:ind w:left="0"/>
      </w:pPr>
      <w:r>
        <w:t xml:space="preserve">Effect of Bat Guano and Alpaca Manure on Germination, Growth, Flower Color Intensity, and Abiotic Stress Tolerance in </w:t>
      </w:r>
      <w:r w:rsidR="00FF2F8D" w:rsidRPr="00FF2F8D">
        <w:rPr>
          <w:i/>
          <w:iCs/>
        </w:rPr>
        <w:t>Mirabilis jalapa L</w:t>
      </w:r>
      <w:r>
        <w:t>.</w:t>
      </w:r>
    </w:p>
    <w:p w14:paraId="00670E23" w14:textId="39DE53E4" w:rsidR="005C4E06" w:rsidRDefault="005C4E06" w:rsidP="005C4E06">
      <w:pPr>
        <w:pStyle w:val="BodyText"/>
        <w:spacing w:before="230"/>
        <w:rPr>
          <w:rFonts w:ascii="Calibri"/>
        </w:rPr>
      </w:pPr>
      <w:r w:rsidRPr="005C4E06">
        <w:rPr>
          <w:rFonts w:ascii="Calibri"/>
          <w:sz w:val="22"/>
          <w:szCs w:val="22"/>
        </w:rPr>
        <w:t>Domenico Prisa</w:t>
      </w:r>
      <w:r w:rsidR="00FF2F8D">
        <w:rPr>
          <w:rStyle w:val="FootnoteReference"/>
          <w:rFonts w:ascii="Calibri"/>
          <w:sz w:val="22"/>
          <w:szCs w:val="22"/>
        </w:rPr>
        <w:footnoteReference w:id="1"/>
      </w:r>
      <w:r w:rsidRPr="005C4E06">
        <w:rPr>
          <w:rFonts w:asciiTheme="majorBidi" w:hAnsiTheme="majorBidi" w:cstheme="majorBidi"/>
          <w:sz w:val="24"/>
          <w:szCs w:val="24"/>
          <w:vertAlign w:val="superscript"/>
        </w:rPr>
        <w:t>,*</w:t>
      </w:r>
      <w:r>
        <w:rPr>
          <w:rFonts w:ascii="Calibri"/>
          <w:sz w:val="22"/>
          <w:szCs w:val="22"/>
        </w:rPr>
        <w:t xml:space="preserve"> &amp;</w:t>
      </w:r>
      <w:r w:rsidRPr="005C4E06">
        <w:rPr>
          <w:rFonts w:ascii="Calibri"/>
          <w:sz w:val="22"/>
          <w:szCs w:val="22"/>
        </w:rPr>
        <w:t xml:space="preserve"> Aftab Jamal</w:t>
      </w:r>
      <w:r w:rsidRPr="005C4E06">
        <w:rPr>
          <w:rFonts w:asciiTheme="majorBidi" w:hAnsiTheme="majorBidi" w:cstheme="majorBidi"/>
          <w:sz w:val="24"/>
          <w:szCs w:val="24"/>
          <w:vertAlign w:val="superscript"/>
        </w:rPr>
        <w:t>2</w:t>
      </w:r>
      <w:r>
        <w:rPr>
          <w:rFonts w:asciiTheme="majorBidi" w:hAnsiTheme="majorBidi" w:cstheme="majorBidi"/>
          <w:sz w:val="24"/>
          <w:szCs w:val="24"/>
          <w:vertAlign w:val="superscript"/>
        </w:rPr>
        <w:br/>
      </w:r>
      <w:r w:rsidRPr="005C4E06">
        <w:rPr>
          <w:rFonts w:ascii="Calibri"/>
          <w:color w:val="055DC1"/>
        </w:rPr>
        <w:t>(Type: Full Article).</w:t>
      </w:r>
      <w:r w:rsidRPr="005C4E06">
        <w:rPr>
          <w:rFonts w:ascii="Calibri"/>
          <w:b/>
          <w:bCs/>
        </w:rPr>
        <w:t xml:space="preserve"> </w:t>
      </w:r>
      <w:r w:rsidRPr="005C4E06">
        <w:rPr>
          <w:rFonts w:ascii="Calibri"/>
        </w:rPr>
        <w:t xml:space="preserve">Received: </w:t>
      </w:r>
      <w:r>
        <w:rPr>
          <w:rFonts w:ascii="Calibri" w:hint="cs"/>
          <w:rtl/>
        </w:rPr>
        <w:t>14</w:t>
      </w:r>
      <w:r w:rsidRPr="005C4E06">
        <w:rPr>
          <w:rFonts w:ascii="Calibri"/>
          <w:vertAlign w:val="superscript"/>
        </w:rPr>
        <w:t>th</w:t>
      </w:r>
      <w:r w:rsidRPr="005C4E06">
        <w:rPr>
          <w:rFonts w:ascii="Calibri"/>
        </w:rPr>
        <w:t xml:space="preserve"> </w:t>
      </w:r>
      <w:r>
        <w:rPr>
          <w:rFonts w:ascii="Calibri"/>
        </w:rPr>
        <w:t>Nov</w:t>
      </w:r>
      <w:r w:rsidRPr="005C4E06">
        <w:rPr>
          <w:rFonts w:ascii="Calibri"/>
        </w:rPr>
        <w:t xml:space="preserve">. 2025, Accepted: </w:t>
      </w:r>
      <w:r>
        <w:rPr>
          <w:rFonts w:ascii="Calibri"/>
        </w:rPr>
        <w:t>23</w:t>
      </w:r>
      <w:r w:rsidRPr="005C4E06">
        <w:rPr>
          <w:rFonts w:ascii="Calibri"/>
          <w:vertAlign w:val="superscript"/>
        </w:rPr>
        <w:t>rd</w:t>
      </w:r>
      <w:r>
        <w:rPr>
          <w:rFonts w:ascii="Calibri"/>
        </w:rPr>
        <w:t xml:space="preserve"> Jan</w:t>
      </w:r>
      <w:r w:rsidRPr="005C4E06">
        <w:rPr>
          <w:rFonts w:ascii="Calibri"/>
        </w:rPr>
        <w:t xml:space="preserve">. 2026, Published: </w:t>
      </w:r>
      <w:r>
        <w:rPr>
          <w:rFonts w:ascii="Calibri" w:hint="cs"/>
          <w:rtl/>
        </w:rPr>
        <w:t>××××</w:t>
      </w:r>
      <w:r w:rsidRPr="005C4E06">
        <w:rPr>
          <w:rFonts w:ascii="Calibri"/>
        </w:rPr>
        <w:t>, DOI:</w:t>
      </w:r>
      <w:r>
        <w:rPr>
          <w:rFonts w:ascii="Calibri" w:hint="cs"/>
          <w:rtl/>
        </w:rPr>
        <w:t xml:space="preserve"> ××××</w:t>
      </w:r>
    </w:p>
    <w:p w14:paraId="6865EE0A" w14:textId="4904F7DE" w:rsidR="005A6EFD" w:rsidRDefault="005C4E06" w:rsidP="005C4E06">
      <w:pPr>
        <w:pStyle w:val="BodyText"/>
        <w:spacing w:after="160" w:line="259" w:lineRule="auto"/>
        <w:jc w:val="center"/>
        <w:rPr>
          <w:rFonts w:ascii="Calibri"/>
          <w:color w:val="055DC1"/>
        </w:rPr>
      </w:pPr>
      <w:r w:rsidRPr="005C4E06">
        <w:rPr>
          <w:rFonts w:ascii="Calibri"/>
          <w:color w:val="055DC1"/>
        </w:rPr>
        <w:t>Received Accepted, In Press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DD6EE"/>
        <w:tblLook w:val="04A0" w:firstRow="1" w:lastRow="0" w:firstColumn="1" w:lastColumn="0" w:noHBand="0" w:noVBand="1"/>
      </w:tblPr>
      <w:tblGrid>
        <w:gridCol w:w="9746"/>
      </w:tblGrid>
      <w:tr w:rsidR="008D3668" w14:paraId="66056AFD" w14:textId="77777777" w:rsidTr="008D3668">
        <w:tc>
          <w:tcPr>
            <w:tcW w:w="9746" w:type="dxa"/>
            <w:shd w:val="clear" w:color="auto" w:fill="BDD6EE"/>
          </w:tcPr>
          <w:p w14:paraId="4D1CD432" w14:textId="2F12922F" w:rsidR="008D3668" w:rsidRPr="008D3668" w:rsidRDefault="008D3668" w:rsidP="008D3668">
            <w:pPr>
              <w:pStyle w:val="BodyText"/>
              <w:jc w:val="both"/>
              <w:rPr>
                <w:rFonts w:asciiTheme="minorBidi" w:hAnsiTheme="minorBidi" w:cstheme="minorBidi"/>
              </w:rPr>
            </w:pPr>
            <w:r w:rsidRPr="008D3668">
              <w:rPr>
                <w:rFonts w:asciiTheme="minorBidi" w:hAnsiTheme="minorBidi" w:cstheme="minorBidi"/>
                <w:noProof/>
              </w:rPr>
              <w:drawing>
                <wp:anchor distT="0" distB="0" distL="114300" distR="114300" simplePos="0" relativeHeight="487593472" behindDoc="0" locked="0" layoutInCell="1" allowOverlap="1" wp14:anchorId="1054AAF0" wp14:editId="24D1C616">
                  <wp:simplePos x="0" y="0"/>
                  <wp:positionH relativeFrom="column">
                    <wp:posOffset>3438525</wp:posOffset>
                  </wp:positionH>
                  <wp:positionV relativeFrom="paragraph">
                    <wp:posOffset>80645</wp:posOffset>
                  </wp:positionV>
                  <wp:extent cx="2609215" cy="1743075"/>
                  <wp:effectExtent l="0" t="0" r="635" b="9525"/>
                  <wp:wrapSquare wrapText="bothSides"/>
                  <wp:docPr id="72390901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09013" name=""/>
                          <pic:cNvPicPr/>
                        </pic:nvPicPr>
                        <pic:blipFill>
                          <a:blip r:embed="rId9">
                            <a:extLst>
                              <a:ext uri="{28A0092B-C50C-407E-A947-70E740481C1C}">
                                <a14:useLocalDpi xmlns:a14="http://schemas.microsoft.com/office/drawing/2010/main" val="0"/>
                              </a:ext>
                            </a:extLst>
                          </a:blip>
                          <a:stretch>
                            <a:fillRect/>
                          </a:stretch>
                        </pic:blipFill>
                        <pic:spPr>
                          <a:xfrm>
                            <a:off x="0" y="0"/>
                            <a:ext cx="2609215" cy="1743075"/>
                          </a:xfrm>
                          <a:prstGeom prst="rect">
                            <a:avLst/>
                          </a:prstGeom>
                        </pic:spPr>
                      </pic:pic>
                    </a:graphicData>
                  </a:graphic>
                  <wp14:sizeRelH relativeFrom="margin">
                    <wp14:pctWidth>0</wp14:pctWidth>
                  </wp14:sizeRelH>
                  <wp14:sizeRelV relativeFrom="margin">
                    <wp14:pctHeight>0</wp14:pctHeight>
                  </wp14:sizeRelV>
                </wp:anchor>
              </w:drawing>
            </w:r>
            <w:r w:rsidRPr="008D3668">
              <w:rPr>
                <w:rFonts w:asciiTheme="minorBidi" w:hAnsiTheme="minorBidi" w:cstheme="minorBidi"/>
                <w:b/>
                <w:bCs/>
              </w:rPr>
              <w:t>Abstract</w:t>
            </w:r>
            <w:r w:rsidRPr="008D3668">
              <w:rPr>
                <w:rFonts w:asciiTheme="minorBidi" w:hAnsiTheme="minorBidi" w:cstheme="minorBidi"/>
              </w:rPr>
              <w:t xml:space="preserve">: This study investigated the impact of bat guano and alpaca manure, applied singularly or in combination, on the greenhouse production of </w:t>
            </w:r>
            <w:r w:rsidR="00FF2F8D" w:rsidRPr="00FF2F8D">
              <w:rPr>
                <w:rFonts w:asciiTheme="minorBidi" w:hAnsiTheme="minorBidi" w:cstheme="minorBidi"/>
                <w:i/>
                <w:iCs/>
              </w:rPr>
              <w:t>Mirabilis jalapa L</w:t>
            </w:r>
            <w:r w:rsidRPr="008D3668">
              <w:rPr>
                <w:rFonts w:asciiTheme="minorBidi" w:hAnsiTheme="minorBidi" w:cstheme="minorBidi"/>
              </w:rPr>
              <w:t>. The central question for this study was whether bat guano + alpaca manure would help plant propagation more than commercial fertilizer</w:t>
            </w:r>
            <w:r w:rsidRPr="008D3668">
              <w:rPr>
                <w:rFonts w:asciiTheme="minorBidi" w:hAnsiTheme="minorBidi" w:cstheme="minorBidi"/>
                <w:spacing w:val="8"/>
              </w:rPr>
              <w:t xml:space="preserve"> </w:t>
            </w:r>
            <w:r w:rsidRPr="008D3668">
              <w:rPr>
                <w:rFonts w:asciiTheme="minorBidi" w:hAnsiTheme="minorBidi" w:cstheme="minorBidi"/>
              </w:rPr>
              <w:t>and</w:t>
            </w:r>
            <w:r w:rsidRPr="008D3668">
              <w:rPr>
                <w:rFonts w:asciiTheme="minorBidi" w:hAnsiTheme="minorBidi" w:cstheme="minorBidi"/>
                <w:spacing w:val="8"/>
              </w:rPr>
              <w:t xml:space="preserve"> </w:t>
            </w:r>
            <w:r w:rsidRPr="008D3668">
              <w:rPr>
                <w:rFonts w:asciiTheme="minorBidi" w:hAnsiTheme="minorBidi" w:cstheme="minorBidi"/>
              </w:rPr>
              <w:t>other</w:t>
            </w:r>
            <w:r w:rsidRPr="008D3668">
              <w:rPr>
                <w:rFonts w:asciiTheme="minorBidi" w:hAnsiTheme="minorBidi" w:cstheme="minorBidi"/>
                <w:spacing w:val="9"/>
              </w:rPr>
              <w:t xml:space="preserve"> </w:t>
            </w:r>
            <w:r w:rsidRPr="008D3668">
              <w:rPr>
                <w:rFonts w:asciiTheme="minorBidi" w:hAnsiTheme="minorBidi" w:cstheme="minorBidi"/>
              </w:rPr>
              <w:t>treatments.</w:t>
            </w:r>
            <w:r w:rsidRPr="008D3668">
              <w:rPr>
                <w:rFonts w:asciiTheme="minorBidi" w:hAnsiTheme="minorBidi" w:cstheme="minorBidi"/>
                <w:spacing w:val="10"/>
              </w:rPr>
              <w:t xml:space="preserve"> </w:t>
            </w:r>
            <w:r w:rsidRPr="008D3668">
              <w:rPr>
                <w:rFonts w:asciiTheme="minorBidi" w:hAnsiTheme="minorBidi" w:cstheme="minorBidi"/>
              </w:rPr>
              <w:t>The</w:t>
            </w:r>
            <w:r w:rsidRPr="008D3668">
              <w:rPr>
                <w:rFonts w:asciiTheme="minorBidi" w:hAnsiTheme="minorBidi" w:cstheme="minorBidi"/>
                <w:spacing w:val="11"/>
              </w:rPr>
              <w:t xml:space="preserve"> </w:t>
            </w:r>
            <w:r w:rsidRPr="008D3668">
              <w:rPr>
                <w:rFonts w:asciiTheme="minorBidi" w:hAnsiTheme="minorBidi" w:cstheme="minorBidi"/>
              </w:rPr>
              <w:t>five</w:t>
            </w:r>
            <w:r w:rsidRPr="008D3668">
              <w:rPr>
                <w:rFonts w:asciiTheme="minorBidi" w:hAnsiTheme="minorBidi" w:cstheme="minorBidi"/>
                <w:spacing w:val="6"/>
              </w:rPr>
              <w:t xml:space="preserve"> </w:t>
            </w:r>
            <w:r w:rsidRPr="008D3668">
              <w:rPr>
                <w:rFonts w:asciiTheme="minorBidi" w:hAnsiTheme="minorBidi" w:cstheme="minorBidi"/>
              </w:rPr>
              <w:t>treatments</w:t>
            </w:r>
            <w:r w:rsidRPr="008D3668">
              <w:rPr>
                <w:rFonts w:asciiTheme="minorBidi" w:hAnsiTheme="minorBidi" w:cstheme="minorBidi"/>
                <w:spacing w:val="12"/>
              </w:rPr>
              <w:t xml:space="preserve"> </w:t>
            </w:r>
            <w:r w:rsidRPr="008D3668">
              <w:rPr>
                <w:rFonts w:asciiTheme="minorBidi" w:hAnsiTheme="minorBidi" w:cstheme="minorBidi"/>
                <w:spacing w:val="-2"/>
              </w:rPr>
              <w:t xml:space="preserve">included: </w:t>
            </w:r>
            <w:r w:rsidRPr="008D3668">
              <w:rPr>
                <w:rFonts w:asciiTheme="minorBidi" w:hAnsiTheme="minorBidi" w:cstheme="minorBidi"/>
              </w:rPr>
              <w:t>no fertilizer (control), bat guano, alpaca manure, bat guano + alpaca manure, and a commercial fertilizer as a treatment. Among the treatments, bat guano + alpaca manure provided the best germination percentage (94%), plant height (32.1 cm), and fresh weight, and produced greater results than</w:t>
            </w:r>
            <w:r w:rsidRPr="008D3668">
              <w:rPr>
                <w:rFonts w:asciiTheme="minorBidi" w:hAnsiTheme="minorBidi" w:cstheme="minorBidi"/>
                <w:spacing w:val="40"/>
              </w:rPr>
              <w:t xml:space="preserve"> </w:t>
            </w:r>
            <w:r w:rsidRPr="008D3668">
              <w:rPr>
                <w:rFonts w:asciiTheme="minorBidi" w:hAnsiTheme="minorBidi" w:cstheme="minorBidi"/>
              </w:rPr>
              <w:t>both the control and the commercial fertilizer. Flower colour was</w:t>
            </w:r>
            <w:r w:rsidRPr="008D3668">
              <w:rPr>
                <w:rFonts w:asciiTheme="minorBidi" w:hAnsiTheme="minorBidi" w:cstheme="minorBidi"/>
                <w:spacing w:val="53"/>
              </w:rPr>
              <w:t xml:space="preserve"> </w:t>
            </w:r>
            <w:r w:rsidRPr="008D3668">
              <w:rPr>
                <w:rFonts w:asciiTheme="minorBidi" w:hAnsiTheme="minorBidi" w:cstheme="minorBidi"/>
              </w:rPr>
              <w:t>assessed</w:t>
            </w:r>
            <w:r w:rsidRPr="008D3668">
              <w:rPr>
                <w:rFonts w:asciiTheme="minorBidi" w:hAnsiTheme="minorBidi" w:cstheme="minorBidi"/>
                <w:spacing w:val="51"/>
              </w:rPr>
              <w:t xml:space="preserve"> </w:t>
            </w:r>
            <w:r w:rsidRPr="008D3668">
              <w:rPr>
                <w:rFonts w:asciiTheme="minorBidi" w:hAnsiTheme="minorBidi" w:cstheme="minorBidi"/>
              </w:rPr>
              <w:t>by</w:t>
            </w:r>
            <w:r w:rsidRPr="008D3668">
              <w:rPr>
                <w:rFonts w:asciiTheme="minorBidi" w:hAnsiTheme="minorBidi" w:cstheme="minorBidi"/>
                <w:spacing w:val="53"/>
              </w:rPr>
              <w:t xml:space="preserve"> </w:t>
            </w:r>
            <w:r w:rsidRPr="008D3668">
              <w:rPr>
                <w:rFonts w:asciiTheme="minorBidi" w:hAnsiTheme="minorBidi" w:cstheme="minorBidi"/>
              </w:rPr>
              <w:t>measuring</w:t>
            </w:r>
            <w:r w:rsidRPr="008D3668">
              <w:rPr>
                <w:rFonts w:asciiTheme="minorBidi" w:hAnsiTheme="minorBidi" w:cstheme="minorBidi"/>
                <w:spacing w:val="54"/>
              </w:rPr>
              <w:t xml:space="preserve"> </w:t>
            </w:r>
            <w:r w:rsidRPr="008D3668">
              <w:rPr>
                <w:rFonts w:asciiTheme="minorBidi" w:hAnsiTheme="minorBidi" w:cstheme="minorBidi"/>
              </w:rPr>
              <w:t>the</w:t>
            </w:r>
            <w:r w:rsidRPr="008D3668">
              <w:rPr>
                <w:rFonts w:asciiTheme="minorBidi" w:hAnsiTheme="minorBidi" w:cstheme="minorBidi"/>
                <w:spacing w:val="52"/>
              </w:rPr>
              <w:t xml:space="preserve"> </w:t>
            </w:r>
            <w:r w:rsidRPr="008D3668">
              <w:rPr>
                <w:rFonts w:asciiTheme="minorBidi" w:hAnsiTheme="minorBidi" w:cstheme="minorBidi"/>
              </w:rPr>
              <w:t>anthocyanin</w:t>
            </w:r>
            <w:r w:rsidRPr="008D3668">
              <w:rPr>
                <w:rFonts w:asciiTheme="minorBidi" w:hAnsiTheme="minorBidi" w:cstheme="minorBidi"/>
                <w:spacing w:val="55"/>
              </w:rPr>
              <w:t xml:space="preserve"> </w:t>
            </w:r>
            <w:r w:rsidRPr="008D3668">
              <w:rPr>
                <w:rFonts w:asciiTheme="minorBidi" w:hAnsiTheme="minorBidi" w:cstheme="minorBidi"/>
              </w:rPr>
              <w:t>levels,</w:t>
            </w:r>
            <w:r w:rsidRPr="008D3668">
              <w:rPr>
                <w:rFonts w:asciiTheme="minorBidi" w:hAnsiTheme="minorBidi" w:cstheme="minorBidi"/>
                <w:spacing w:val="50"/>
              </w:rPr>
              <w:t xml:space="preserve"> </w:t>
            </w:r>
            <w:r w:rsidRPr="008D3668">
              <w:rPr>
                <w:rFonts w:asciiTheme="minorBidi" w:hAnsiTheme="minorBidi" w:cstheme="minorBidi"/>
                <w:spacing w:val="-4"/>
              </w:rPr>
              <w:t xml:space="preserve">which </w:t>
            </w:r>
            <w:r w:rsidRPr="008D3668">
              <w:rPr>
                <w:rFonts w:asciiTheme="minorBidi" w:hAnsiTheme="minorBidi" w:cstheme="minorBidi"/>
              </w:rPr>
              <w:t>were highest with bat guano + alpaca manure, while commercial fertilizer provided some beneficial effects over the control. Plants that received organic treatments and the combination of bat guano + alpaca manure maintained more moisture and showed less decline in chlorophyll stability under adverse conditions, than those receiving either the control or commercial fertilizer. In general, bat guano + alpaca manure provided the best results in all assessments. While these results are unique for a single season in a greenhouse study and may not translate to other systems, bat guano and alpaca manure appear to be an effective combination for sustainable flower production.</w:t>
            </w:r>
          </w:p>
        </w:tc>
      </w:tr>
    </w:tbl>
    <w:p w14:paraId="2969EFD8" w14:textId="7538F86A" w:rsidR="005A6EFD" w:rsidRDefault="00B67A8E" w:rsidP="0038122B">
      <w:pPr>
        <w:pStyle w:val="BodyText"/>
        <w:spacing w:before="54" w:line="364" w:lineRule="auto"/>
        <w:jc w:val="both"/>
        <w:rPr>
          <w:rFonts w:ascii="Arial" w:eastAsiaTheme="minorHAnsi" w:hAnsi="Arial" w:cstheme="minorBidi"/>
          <w:szCs w:val="22"/>
        </w:rPr>
      </w:pPr>
      <w:r w:rsidRPr="0038122B">
        <w:rPr>
          <w:rFonts w:ascii="Arial" w:eastAsiaTheme="minorHAnsi" w:hAnsi="Arial" w:cstheme="minorBidi"/>
          <w:b/>
          <w:bCs/>
          <w:szCs w:val="22"/>
        </w:rPr>
        <w:t>Keywords:</w:t>
      </w:r>
      <w:r w:rsidRPr="0038122B">
        <w:rPr>
          <w:rFonts w:ascii="Arial" w:eastAsiaTheme="minorHAnsi" w:hAnsi="Arial" w:cstheme="minorBidi"/>
          <w:szCs w:val="22"/>
        </w:rPr>
        <w:t xml:space="preserve"> </w:t>
      </w:r>
      <w:r w:rsidR="008D3668" w:rsidRPr="0038122B">
        <w:rPr>
          <w:rFonts w:ascii="Arial" w:eastAsiaTheme="minorHAnsi" w:hAnsi="Arial" w:cstheme="minorBidi"/>
          <w:szCs w:val="22"/>
        </w:rPr>
        <w:t>Anthocyanin Accumulation, Organic Nutrient, Greenhouse Ornamental Production, Drought Resilience, Sustainable Floriculture Inputs.</w:t>
      </w:r>
    </w:p>
    <w:p w14:paraId="4F1BF420" w14:textId="77777777" w:rsidR="009F2023" w:rsidRDefault="009F2023" w:rsidP="0038122B">
      <w:pPr>
        <w:pStyle w:val="Heading2"/>
        <w:spacing w:after="60" w:line="288" w:lineRule="auto"/>
        <w:ind w:left="0"/>
        <w:rPr>
          <w:sz w:val="20"/>
          <w:szCs w:val="20"/>
        </w:rPr>
        <w:sectPr w:rsidR="009F2023" w:rsidSect="00F81A72">
          <w:headerReference w:type="even" r:id="rId10"/>
          <w:headerReference w:type="default" r:id="rId11"/>
          <w:footerReference w:type="even" r:id="rId12"/>
          <w:footerReference w:type="default" r:id="rId13"/>
          <w:headerReference w:type="first" r:id="rId14"/>
          <w:footerReference w:type="first" r:id="rId15"/>
          <w:type w:val="continuous"/>
          <w:pgSz w:w="11910" w:h="16840" w:code="9"/>
          <w:pgMar w:top="1077" w:right="1077" w:bottom="1077" w:left="1077" w:header="720" w:footer="720" w:gutter="0"/>
          <w:pgNumType w:start="1"/>
          <w:cols w:space="720"/>
        </w:sectPr>
      </w:pPr>
    </w:p>
    <w:p w14:paraId="372E78A5" w14:textId="2DDE958C" w:rsidR="005A6EFD" w:rsidRPr="0038122B" w:rsidRDefault="00B67A8E" w:rsidP="0038122B">
      <w:pPr>
        <w:pStyle w:val="Heading2"/>
        <w:spacing w:after="60" w:line="288" w:lineRule="auto"/>
        <w:ind w:left="0"/>
        <w:rPr>
          <w:sz w:val="20"/>
          <w:szCs w:val="20"/>
        </w:rPr>
      </w:pPr>
      <w:r w:rsidRPr="0038122B">
        <w:rPr>
          <w:sz w:val="20"/>
          <w:szCs w:val="20"/>
        </w:rPr>
        <w:lastRenderedPageBreak/>
        <w:t>Introduction</w:t>
      </w:r>
    </w:p>
    <w:p w14:paraId="0CD72890" w14:textId="0C83D71F" w:rsidR="005A6EFD" w:rsidRPr="0038122B" w:rsidRDefault="00B67A8E" w:rsidP="009F2023">
      <w:pPr>
        <w:pStyle w:val="ANUText"/>
        <w:spacing w:after="43" w:line="286" w:lineRule="auto"/>
        <w:rPr>
          <w:rFonts w:asciiTheme="minorBidi" w:hAnsiTheme="minorBidi"/>
          <w:szCs w:val="16"/>
        </w:rPr>
      </w:pPr>
      <w:r w:rsidRPr="0038122B">
        <w:rPr>
          <w:rFonts w:asciiTheme="minorBidi" w:hAnsiTheme="minorBidi"/>
          <w:szCs w:val="16"/>
        </w:rPr>
        <w:t xml:space="preserve">The growing need for sustainable agriculture has increased the attention on the exploration of organic soil amendments to enhance plant growth and promote soil health while reducing environmental stress [1,2]. Animal manure is an important amendment because it provides key nutrients and organic matter associated with plant growth and physiological responses [3]. In this situation, the desirable model species, </w:t>
      </w:r>
      <w:r w:rsidR="00FF2F8D" w:rsidRPr="00FF2F8D">
        <w:rPr>
          <w:rFonts w:asciiTheme="minorBidi" w:hAnsiTheme="minorBidi"/>
          <w:i/>
          <w:iCs/>
          <w:szCs w:val="16"/>
        </w:rPr>
        <w:t>Mirabilis jalapa L</w:t>
      </w:r>
      <w:r w:rsidRPr="0038122B">
        <w:rPr>
          <w:rFonts w:asciiTheme="minorBidi" w:hAnsiTheme="minorBidi"/>
          <w:szCs w:val="16"/>
        </w:rPr>
        <w:t>. (four o'clock flowers), is an excellent candidate for pigment expression and stress physiology studies because of its high variability in flower colour and response to nutrient availability [4,5].</w:t>
      </w:r>
    </w:p>
    <w:p w14:paraId="527CCB9B" w14:textId="4F9E8EA4" w:rsidR="005A6EFD" w:rsidRPr="0038122B" w:rsidRDefault="00B67A8E" w:rsidP="009F2023">
      <w:pPr>
        <w:pStyle w:val="ANUText"/>
        <w:spacing w:after="43" w:line="286" w:lineRule="auto"/>
        <w:rPr>
          <w:rFonts w:asciiTheme="minorBidi" w:hAnsiTheme="minorBidi"/>
          <w:szCs w:val="16"/>
        </w:rPr>
      </w:pPr>
      <w:r w:rsidRPr="0038122B">
        <w:rPr>
          <w:rFonts w:asciiTheme="minorBidi" w:hAnsiTheme="minorBidi"/>
          <w:szCs w:val="16"/>
        </w:rPr>
        <w:t xml:space="preserve">Bat guano and alpaca manure are gaining attention as organic functional fertilizers that contain both macro- and micronutrients. Bat guano is rich in nitrogen and phosphorus and appears to support vigorous seedling and vegetative growth of plants. They also been shown to introduce beneficial microbial populations that promote microbial activity in the rhizosphere and stimulate root growth [6,7]. Likewise, alpaca manure is comparable to guano, providing a balanced nutrient profile, low odor, and slow-release nutrients with less nutrient loss during greenhouse production [8,9]. The use of combination of these amendments may further support nutrient availability while maintaining microbial communities, thereby enhancing the overall sustainability of floriculture production systems. Bat </w:t>
      </w:r>
      <w:r w:rsidRPr="0038122B">
        <w:rPr>
          <w:rFonts w:asciiTheme="minorBidi" w:hAnsiTheme="minorBidi"/>
          <w:szCs w:val="16"/>
        </w:rPr>
        <w:lastRenderedPageBreak/>
        <w:t>guano is recognized as a nutrient-dense organic</w:t>
      </w:r>
      <w:r w:rsidR="00B13AD6" w:rsidRPr="0038122B">
        <w:rPr>
          <w:rFonts w:asciiTheme="minorBidi" w:hAnsiTheme="minorBidi"/>
          <w:szCs w:val="16"/>
        </w:rPr>
        <w:t xml:space="preserve"> </w:t>
      </w:r>
      <w:r w:rsidRPr="0038122B">
        <w:rPr>
          <w:rFonts w:asciiTheme="minorBidi" w:hAnsiTheme="minorBidi"/>
          <w:szCs w:val="16"/>
        </w:rPr>
        <w:t>fertilizer, particularly rich in nitrogen and phosphorus, along with potassium and micronutrients, although its composition varies according to bat feeding habits and guano age [10,11]. Similarly, alpaca manure, a camelid-derived organic amendment, contains moderate levels of nitrogen (≈0.5–0.6%), phosphorus, potassium, and organic matter, and is characterized by slow nutrient release and minimal odor, making it suitable for greenhouse and container production systems [12].</w:t>
      </w:r>
    </w:p>
    <w:p w14:paraId="189BDDCA" w14:textId="77777777" w:rsidR="005A6EFD" w:rsidRPr="0038122B" w:rsidRDefault="00B67A8E" w:rsidP="009F2023">
      <w:pPr>
        <w:pStyle w:val="ANUText"/>
        <w:spacing w:after="43" w:line="286" w:lineRule="auto"/>
        <w:rPr>
          <w:rFonts w:asciiTheme="minorBidi" w:hAnsiTheme="minorBidi"/>
          <w:szCs w:val="16"/>
        </w:rPr>
      </w:pPr>
      <w:r w:rsidRPr="0038122B">
        <w:rPr>
          <w:rFonts w:asciiTheme="minorBidi" w:hAnsiTheme="minorBidi"/>
          <w:szCs w:val="16"/>
        </w:rPr>
        <w:t>Earlier research in ornamental horticulture has demonstrated that organic manures can improve flower yield, stem strength, flower color, and plant tolerance to abiotic stresses, such as drought and salinity [13,14]. Organic amendments also contribute to soil water holding capacity and beneficial microbial populations and help improve plant stress relief, all of which are particularly compelling traits when considering controlled greenhouses and soilless systems [15,16]. In addition, using organic fertilizers, which can often be sourced locally, has lower input costs and lower carbon emissions due to the lower transport distance/amount [14]. For example, estimates suggest that using local resources such as bat guano and alpaca manure can provide more than 30% less transportation emissions than commercial fertilizers transported many miles [17].</w:t>
      </w:r>
    </w:p>
    <w:p w14:paraId="1E77711F" w14:textId="18AF0AF2" w:rsidR="005A6EFD" w:rsidRPr="0038122B" w:rsidRDefault="00B67A8E" w:rsidP="009F2023">
      <w:pPr>
        <w:pStyle w:val="ANUText"/>
        <w:spacing w:after="43" w:line="286" w:lineRule="auto"/>
        <w:rPr>
          <w:rFonts w:asciiTheme="minorBidi" w:hAnsiTheme="minorBidi"/>
          <w:szCs w:val="16"/>
        </w:rPr>
      </w:pPr>
      <w:r w:rsidRPr="0038122B">
        <w:rPr>
          <w:rFonts w:asciiTheme="minorBidi" w:hAnsiTheme="minorBidi"/>
          <w:szCs w:val="16"/>
        </w:rPr>
        <w:t>Unfortunately, little is known about the independent or combined effects of bat guano and alpaca manure on</w:t>
      </w:r>
      <w:r w:rsidR="00B13AD6" w:rsidRPr="0038122B">
        <w:rPr>
          <w:rFonts w:asciiTheme="minorBidi" w:hAnsiTheme="minorBidi"/>
          <w:szCs w:val="16"/>
        </w:rPr>
        <w:t xml:space="preserve"> </w:t>
      </w:r>
      <w:r w:rsidRPr="0038122B">
        <w:rPr>
          <w:rFonts w:asciiTheme="minorBidi" w:hAnsiTheme="minorBidi"/>
          <w:szCs w:val="16"/>
        </w:rPr>
        <w:lastRenderedPageBreak/>
        <w:t>ornamental plants. However, little is known about their effects on anthocyanin accumulation and color intensity of flowers, two characteristics associated with a plant's physiological response to environmental stimuli [18,19]. Anthocyanins are flavonoid- derived secondary plant metabolites that are responsible for the red, purple, and blue coloration of flowers and other plant tissues. In addition to their role in pigmentation, anthocyanins are involved in plant responses to environmental stimuli, including nutrient availability and abiotic stress [20,21]. Since</w:t>
      </w:r>
      <w:r w:rsidR="00FF2F8D">
        <w:rPr>
          <w:rFonts w:asciiTheme="minorBidi" w:hAnsiTheme="minorBidi"/>
          <w:szCs w:val="16"/>
        </w:rPr>
        <w:t xml:space="preserve"> </w:t>
      </w:r>
      <w:r w:rsidRPr="0038122B">
        <w:rPr>
          <w:rFonts w:asciiTheme="minorBidi" w:hAnsiTheme="minorBidi"/>
          <w:szCs w:val="16"/>
        </w:rPr>
        <w:t>M. jalapa has exhibited sensitivity to nutrients and changes in flower color, testing these organic fertilizers may elucidate our understanding of ornamental quality and stress physiology in plants.</w:t>
      </w:r>
    </w:p>
    <w:p w14:paraId="673B73E6" w14:textId="77777777" w:rsidR="005A6EFD" w:rsidRPr="0038122B" w:rsidRDefault="00B67A8E" w:rsidP="009F2023">
      <w:pPr>
        <w:pStyle w:val="ANUText"/>
        <w:spacing w:after="43" w:line="286" w:lineRule="auto"/>
        <w:rPr>
          <w:rFonts w:asciiTheme="minorBidi" w:hAnsiTheme="minorBidi"/>
          <w:szCs w:val="16"/>
        </w:rPr>
      </w:pPr>
      <w:r w:rsidRPr="0038122B">
        <w:rPr>
          <w:rFonts w:asciiTheme="minorBidi" w:hAnsiTheme="minorBidi"/>
          <w:szCs w:val="16"/>
        </w:rPr>
        <w:t>The current study was conducted under controlled greenhouse conditions to examine the effects of bat guano, alpaca manure, and a combination of both, on M. jalapa growth, pigment indices, and stress tolerance when compared to a commercial organic fertilizer. It was hypothesized that bat guano, alpaca manure, and a combination of the two would have a greater positive effect on seed germination, vegetative growth, flower pigment indices, and stress tolerance than a commercial organic fertilizer. It was supposed that bat guano, alpaca manure, and a combination of both manures would promote plant growth and stress responses due to the availability of beneficial nutrients and that they would similarly increase soil microbial activity.</w:t>
      </w:r>
    </w:p>
    <w:p w14:paraId="4093249B" w14:textId="77777777" w:rsidR="005A6EFD" w:rsidRPr="0038122B" w:rsidRDefault="00B67A8E" w:rsidP="009F2023">
      <w:pPr>
        <w:pStyle w:val="Heading2"/>
        <w:spacing w:after="43" w:line="286" w:lineRule="auto"/>
        <w:ind w:left="0"/>
        <w:rPr>
          <w:sz w:val="20"/>
          <w:szCs w:val="20"/>
        </w:rPr>
      </w:pPr>
      <w:r w:rsidRPr="0038122B">
        <w:rPr>
          <w:sz w:val="20"/>
          <w:szCs w:val="20"/>
        </w:rPr>
        <w:t>Materials and Methods</w:t>
      </w:r>
    </w:p>
    <w:p w14:paraId="67F016C3" w14:textId="77777777" w:rsidR="005A6EFD" w:rsidRPr="0038122B" w:rsidRDefault="00B67A8E" w:rsidP="009F2023">
      <w:pPr>
        <w:pStyle w:val="Heading2"/>
        <w:spacing w:after="43" w:line="286" w:lineRule="auto"/>
        <w:ind w:left="0"/>
        <w:rPr>
          <w:sz w:val="18"/>
          <w:szCs w:val="18"/>
        </w:rPr>
      </w:pPr>
      <w:r w:rsidRPr="0038122B">
        <w:rPr>
          <w:sz w:val="18"/>
          <w:szCs w:val="18"/>
        </w:rPr>
        <w:t>Experimental Site and Conditions</w:t>
      </w:r>
    </w:p>
    <w:p w14:paraId="00A6297C" w14:textId="77777777" w:rsidR="005A6EFD" w:rsidRPr="0038122B" w:rsidRDefault="00B67A8E" w:rsidP="009F2023">
      <w:pPr>
        <w:pStyle w:val="ANUText"/>
        <w:spacing w:after="43" w:line="286" w:lineRule="auto"/>
        <w:rPr>
          <w:rFonts w:asciiTheme="minorBidi" w:hAnsiTheme="minorBidi"/>
          <w:szCs w:val="16"/>
        </w:rPr>
      </w:pPr>
      <w:r w:rsidRPr="0038122B">
        <w:rPr>
          <w:rFonts w:asciiTheme="minorBidi" w:hAnsiTheme="minorBidi"/>
          <w:szCs w:val="16"/>
        </w:rPr>
        <w:t>The experiment was carried out under semi-controlled conditions in greenhouses at CREA (Agricultural Research Council), located in Pescia, Italy (43°54′ N, 10°41′ E), in the spring and summer of 2025. The greenhouse was built from polyethylene and had side ventilation, a tethered irrigation system, and temperature telemetry. The average daily temperatures ranged from 24 to 30°C, whereas the average nightly temperatures ranged from 16 to 20°C. The relative humidity was maintained at approximately 55 - 70 %. In addition, when the natural light intensity was below 300 µmol·m</w:t>
      </w:r>
      <w:r w:rsidRPr="0038122B">
        <w:rPr>
          <w:rFonts w:ascii="Cambria Math" w:hAnsi="Cambria Math" w:cs="Cambria Math"/>
          <w:szCs w:val="16"/>
        </w:rPr>
        <w:t>⁻</w:t>
      </w:r>
      <w:r w:rsidRPr="0038122B">
        <w:rPr>
          <w:rFonts w:asciiTheme="minorBidi" w:hAnsiTheme="minorBidi"/>
          <w:szCs w:val="16"/>
        </w:rPr>
        <w:t>²·s</w:t>
      </w:r>
      <w:r w:rsidRPr="0038122B">
        <w:rPr>
          <w:rFonts w:ascii="Cambria Math" w:hAnsi="Cambria Math" w:cs="Cambria Math"/>
          <w:szCs w:val="16"/>
        </w:rPr>
        <w:t>⁻</w:t>
      </w:r>
      <w:r w:rsidRPr="0038122B">
        <w:rPr>
          <w:rFonts w:asciiTheme="minorBidi" w:hAnsiTheme="minorBidi"/>
          <w:szCs w:val="16"/>
        </w:rPr>
        <w:t>¹, supplemental LED lights were turned on.</w:t>
      </w:r>
    </w:p>
    <w:p w14:paraId="01922A14" w14:textId="77777777" w:rsidR="005A6EFD" w:rsidRPr="0038122B" w:rsidRDefault="00B67A8E" w:rsidP="009F2023">
      <w:pPr>
        <w:pStyle w:val="Heading2"/>
        <w:spacing w:after="43" w:line="286" w:lineRule="auto"/>
        <w:ind w:left="0"/>
        <w:rPr>
          <w:sz w:val="18"/>
          <w:szCs w:val="18"/>
        </w:rPr>
      </w:pPr>
      <w:r w:rsidRPr="0038122B">
        <w:rPr>
          <w:sz w:val="18"/>
          <w:szCs w:val="18"/>
        </w:rPr>
        <w:t>Plant Material and Seed Preparation</w:t>
      </w:r>
    </w:p>
    <w:p w14:paraId="5F65054D" w14:textId="14B0F7C0" w:rsidR="005A6EFD" w:rsidRPr="0038122B" w:rsidRDefault="00FF2F8D" w:rsidP="009F2023">
      <w:pPr>
        <w:pStyle w:val="BodyText"/>
        <w:spacing w:after="43" w:line="286" w:lineRule="auto"/>
        <w:ind w:firstLine="288"/>
        <w:jc w:val="both"/>
        <w:rPr>
          <w:rFonts w:asciiTheme="minorBidi" w:eastAsiaTheme="minorHAnsi" w:hAnsiTheme="minorBidi" w:cstheme="minorBidi"/>
        </w:rPr>
      </w:pPr>
      <w:r w:rsidRPr="00FF2F8D">
        <w:rPr>
          <w:rFonts w:ascii="Arial"/>
          <w:i/>
          <w:iCs/>
        </w:rPr>
        <w:t>Mirabilis jalapa L</w:t>
      </w:r>
      <w:r>
        <w:t xml:space="preserve">. </w:t>
      </w:r>
      <w:r w:rsidRPr="0038122B">
        <w:rPr>
          <w:rFonts w:asciiTheme="minorBidi" w:eastAsiaTheme="minorHAnsi" w:hAnsiTheme="minorBidi" w:cstheme="minorBidi"/>
        </w:rPr>
        <w:t>seeds obtained from a vendor approved by the International Plant Protection Organization. The seeds were selected for uniform size, sterilized with 1 percent sodium hypochlorite solution for 2 min and then rinsed thoroughly. Seed viability was greater than 90 percent, based on germination testing.</w:t>
      </w:r>
    </w:p>
    <w:p w14:paraId="490D8B13" w14:textId="77777777" w:rsidR="005A6EFD" w:rsidRPr="0038122B" w:rsidRDefault="00B67A8E" w:rsidP="009F2023">
      <w:pPr>
        <w:pStyle w:val="Heading2"/>
        <w:spacing w:after="43" w:line="286" w:lineRule="auto"/>
        <w:ind w:left="0"/>
        <w:rPr>
          <w:sz w:val="18"/>
          <w:szCs w:val="18"/>
        </w:rPr>
      </w:pPr>
      <w:r w:rsidRPr="0038122B">
        <w:rPr>
          <w:sz w:val="18"/>
          <w:szCs w:val="18"/>
        </w:rPr>
        <w:t>Growing Media and Pot Culture</w:t>
      </w:r>
    </w:p>
    <w:p w14:paraId="52C6CC00" w14:textId="5BE701EC"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Five-liter plastic pots were used as containers for each experimental unit. The pots contained a consistent growing medium of loamy soil, composted pine bark, and perlite in a volume ratio of 2:1:1. The growing medium was sterilized at 70</w:t>
      </w:r>
      <w:r w:rsidR="0038122B">
        <w:rPr>
          <w:rFonts w:asciiTheme="minorBidi" w:eastAsiaTheme="minorHAnsi" w:hAnsiTheme="minorBidi" w:cstheme="minorBidi" w:hint="cs"/>
          <w:rtl/>
        </w:rPr>
        <w:t xml:space="preserve"> </w:t>
      </w:r>
      <w:r w:rsidRPr="0038122B">
        <w:rPr>
          <w:rFonts w:asciiTheme="minorBidi" w:eastAsiaTheme="minorHAnsi" w:hAnsiTheme="minorBidi" w:cstheme="minorBidi"/>
        </w:rPr>
        <w:t>°C for two hours to reduce the presence of pathogens to acceptable levels. The pots were placed on greenhouse benches at a spacing of 30 cm to ensure equal light and airflow. The growing medium was sterilized to reduce soil-borne pathogens, weed seeds, and background microbial variability. The experiment was conducted under greenhouse (in vivo) conditions rather than in vitro systems. Sterilization was applied to ensure uniform starting conditions across treatments, while allowing microbial communities to re-establish during cultivation, particularly in organically amended substrates.</w:t>
      </w:r>
    </w:p>
    <w:p w14:paraId="4CE8747A" w14:textId="77777777" w:rsidR="005A6EFD" w:rsidRPr="0038122B" w:rsidRDefault="00B67A8E" w:rsidP="009F2023">
      <w:pPr>
        <w:pStyle w:val="Heading2"/>
        <w:spacing w:after="43" w:line="286" w:lineRule="auto"/>
        <w:ind w:left="0"/>
        <w:rPr>
          <w:sz w:val="18"/>
          <w:szCs w:val="18"/>
        </w:rPr>
      </w:pPr>
      <w:r w:rsidRPr="0038122B">
        <w:rPr>
          <w:sz w:val="18"/>
          <w:szCs w:val="18"/>
        </w:rPr>
        <w:t>Fertilizer Treatments</w:t>
      </w:r>
    </w:p>
    <w:p w14:paraId="0CC947E3"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The five fertilization treatments were as follows:</w:t>
      </w:r>
    </w:p>
    <w:p w14:paraId="20D78198" w14:textId="0C70A2D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 xml:space="preserve">T1 (Control): No fertilizer applied; T2 (Bat Guano): 10 g of commercial powdered bat guano, incorporated into the top 5 cm </w:t>
      </w:r>
      <w:r w:rsidRPr="0038122B">
        <w:rPr>
          <w:rFonts w:asciiTheme="minorBidi" w:eastAsiaTheme="minorHAnsi" w:hAnsiTheme="minorBidi" w:cstheme="minorBidi"/>
        </w:rPr>
        <w:lastRenderedPageBreak/>
        <w:t>of soil prior to sowing (Bat guano was applied as a commercially available powdered product, Plagron Batmix, NPK 10–3–1), T3 (Alpaca Manure, Buddy’s Premium Alpaca):</w:t>
      </w:r>
    </w:p>
    <w:p w14:paraId="06936B8E"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200 g of air-dry (Alpaca manure consisted of air-dried, composted material obtained from a local certified alpaca farm. The manure was composted under aerobic conditions prior to application to ensure stabilization and suitability for greenhouse use); T4 (Combination): 5 g bat guano and 100 g alpaca manure; T5 (Commercial Fertilizer, Microlife Ultimate): 5 g of a commercially available organic NPK (8-4-6) fertilizer targeted for use on flowering plants.</w:t>
      </w:r>
    </w:p>
    <w:p w14:paraId="55F46EA8" w14:textId="51EA884D"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 xml:space="preserve">All fertilizers were added as base dressing at the time of </w:t>
      </w:r>
      <w:r w:rsidRPr="0038122B">
        <w:rPr>
          <w:rFonts w:asciiTheme="minorBidi" w:eastAsiaTheme="minorHAnsi" w:hAnsiTheme="minorBidi" w:cstheme="minorBidi"/>
        </w:rPr>
        <w:lastRenderedPageBreak/>
        <w:t>sowing, and no additional topdressing was performed to follow a one-off application protocol. The application rate for each treatment was based on previous studies and, where appropriate, manufacturer recommendations. This was done to ensure that an adequate nutrient supply was available. The nitrogen input across the treatments was standardized as closely as possible based on the fertilizer composition and published nutrient analyses. Bat guano (NPK 10–3–1) applied at 10 g pot</w:t>
      </w:r>
      <w:r w:rsidRPr="0038122B">
        <w:rPr>
          <w:rFonts w:ascii="Cambria Math" w:eastAsiaTheme="minorHAnsi" w:hAnsi="Cambria Math" w:cs="Cambria Math"/>
        </w:rPr>
        <w:t>⁻</w:t>
      </w:r>
      <w:r w:rsidRPr="0038122B">
        <w:rPr>
          <w:rFonts w:asciiTheme="minorBidi" w:eastAsiaTheme="minorHAnsi" w:hAnsiTheme="minorBidi" w:cstheme="minorBidi"/>
        </w:rPr>
        <w:t>¹ supplied approximately 1.0 g N pot</w:t>
      </w:r>
      <w:r w:rsidRPr="0038122B">
        <w:rPr>
          <w:rFonts w:ascii="Cambria Math" w:eastAsiaTheme="minorHAnsi" w:hAnsi="Cambria Math" w:cs="Cambria Math"/>
        </w:rPr>
        <w:t>⁻</w:t>
      </w:r>
      <w:r w:rsidRPr="0038122B">
        <w:rPr>
          <w:rFonts w:asciiTheme="minorBidi" w:eastAsiaTheme="minorHAnsi" w:hAnsiTheme="minorBidi" w:cstheme="minorBidi"/>
        </w:rPr>
        <w:t>¹. Alpaca manure, with an estimated total nitrogen content of 0.5–0.6% (dry weight), supplied approximately 1.0–1.2 g N pot</w:t>
      </w:r>
      <w:r w:rsidRPr="0038122B">
        <w:rPr>
          <w:rFonts w:ascii="Cambria Math" w:eastAsiaTheme="minorHAnsi" w:hAnsi="Cambria Math" w:cs="Cambria Math"/>
        </w:rPr>
        <w:t>⁻</w:t>
      </w:r>
      <w:r w:rsidRPr="0038122B">
        <w:rPr>
          <w:rFonts w:asciiTheme="minorBidi" w:eastAsiaTheme="minorHAnsi" w:hAnsiTheme="minorBidi" w:cstheme="minorBidi"/>
        </w:rPr>
        <w:t>¹ when applied at 200 g pot</w:t>
      </w:r>
      <w:r w:rsidRPr="0038122B">
        <w:rPr>
          <w:rFonts w:ascii="Cambria Math" w:eastAsiaTheme="minorHAnsi" w:hAnsi="Cambria Math" w:cs="Cambria Math"/>
        </w:rPr>
        <w:t>⁻</w:t>
      </w:r>
      <w:r w:rsidRPr="0038122B">
        <w:rPr>
          <w:rFonts w:asciiTheme="minorBidi" w:eastAsiaTheme="minorHAnsi" w:hAnsiTheme="minorBidi" w:cstheme="minorBidi"/>
        </w:rPr>
        <w:t>¹. The combined treatment (5 g bat guano</w:t>
      </w:r>
      <w:r w:rsidR="00FF2F8D">
        <w:rPr>
          <w:rFonts w:asciiTheme="minorBidi" w:eastAsiaTheme="minorHAnsi" w:hAnsiTheme="minorBidi" w:cstheme="minorBidi"/>
        </w:rPr>
        <w:t xml:space="preserve"> </w:t>
      </w:r>
      <w:r w:rsidRPr="0038122B">
        <w:rPr>
          <w:rFonts w:asciiTheme="minorBidi" w:eastAsiaTheme="minorHAnsi" w:hAnsiTheme="minorBidi" w:cstheme="minorBidi"/>
        </w:rPr>
        <w:t>+ 100 g alpaca manure) delivered approximately 1.0–1.1 g N pot</w:t>
      </w:r>
      <w:r w:rsidRPr="0038122B">
        <w:rPr>
          <w:rFonts w:ascii="Cambria Math" w:eastAsiaTheme="minorHAnsi" w:hAnsi="Cambria Math" w:cs="Cambria Math"/>
        </w:rPr>
        <w:t>⁻</w:t>
      </w:r>
      <w:r w:rsidRPr="0038122B">
        <w:rPr>
          <w:rFonts w:asciiTheme="minorBidi" w:eastAsiaTheme="minorHAnsi" w:hAnsiTheme="minorBidi" w:cstheme="minorBidi"/>
        </w:rPr>
        <w:t>¹. The commercial organic fertilizer (NPK 8–4–6) applied at 5 g pot</w:t>
      </w:r>
      <w:r w:rsidRPr="0038122B">
        <w:rPr>
          <w:rFonts w:ascii="Cambria Math" w:eastAsiaTheme="minorHAnsi" w:hAnsi="Cambria Math" w:cs="Cambria Math"/>
        </w:rPr>
        <w:t>⁻</w:t>
      </w:r>
      <w:r w:rsidRPr="0038122B">
        <w:rPr>
          <w:rFonts w:asciiTheme="minorBidi" w:eastAsiaTheme="minorHAnsi" w:hAnsiTheme="minorBidi" w:cstheme="minorBidi"/>
        </w:rPr>
        <w:t>¹ supplied approximately 0.4 g N pot</w:t>
      </w:r>
      <w:r w:rsidRPr="0038122B">
        <w:rPr>
          <w:rFonts w:ascii="Cambria Math" w:eastAsiaTheme="minorHAnsi" w:hAnsi="Cambria Math" w:cs="Cambria Math"/>
        </w:rPr>
        <w:t>⁻</w:t>
      </w:r>
      <w:r w:rsidRPr="0038122B">
        <w:rPr>
          <w:rFonts w:asciiTheme="minorBidi" w:eastAsiaTheme="minorHAnsi" w:hAnsiTheme="minorBidi" w:cstheme="minorBidi"/>
        </w:rPr>
        <w:t>¹, consistent with manufacturer recommendations for ornamental container crops. Plants in all treatments received the same irrigation regime through drip systems, and the soil moisture was maintained at or near field capacity. An automated sensor system with tensiometers monitored soil moisture to provide consistent water to all treatments, which supported the validity of the results.</w:t>
      </w:r>
    </w:p>
    <w:p w14:paraId="22A675CE" w14:textId="77777777" w:rsidR="005A6EFD" w:rsidRPr="0038122B" w:rsidRDefault="00B67A8E" w:rsidP="009F2023">
      <w:pPr>
        <w:pStyle w:val="Heading2"/>
        <w:spacing w:after="43" w:line="286" w:lineRule="auto"/>
        <w:ind w:left="0"/>
        <w:rPr>
          <w:sz w:val="18"/>
          <w:szCs w:val="18"/>
        </w:rPr>
      </w:pPr>
      <w:r w:rsidRPr="0038122B">
        <w:rPr>
          <w:sz w:val="18"/>
          <w:szCs w:val="18"/>
        </w:rPr>
        <w:t>Experimental Design and Replication</w:t>
      </w:r>
    </w:p>
    <w:p w14:paraId="67021F00"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The experiment was arranged in a completely randomized design (CRD) with five fertilization treatments and 30 replicates per treatment, resulting in a total of 150 experimental units. Each pot contained one plant and was considered an independent replicate of the experiment.</w:t>
      </w:r>
    </w:p>
    <w:p w14:paraId="6A504DA1" w14:textId="77777777" w:rsidR="005A6EFD" w:rsidRPr="0038122B" w:rsidRDefault="00B67A8E" w:rsidP="009F2023">
      <w:pPr>
        <w:pStyle w:val="Heading2"/>
        <w:spacing w:after="43" w:line="286" w:lineRule="auto"/>
        <w:ind w:left="0"/>
        <w:rPr>
          <w:sz w:val="18"/>
          <w:szCs w:val="18"/>
        </w:rPr>
      </w:pPr>
      <w:r w:rsidRPr="0038122B">
        <w:rPr>
          <w:sz w:val="18"/>
          <w:szCs w:val="18"/>
        </w:rPr>
        <w:t>Data Collection Parameters Germination Rate</w:t>
      </w:r>
    </w:p>
    <w:p w14:paraId="25BEFBCC"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Emergence was monitored daily for 14 days after sowing (DAS). Seeds were considered germinated when the radicles emerged. The germination percentage was calculated as the number of germinated seeds divided by the total number of seeds per pot. The results were expressed as percentages.</w:t>
      </w:r>
    </w:p>
    <w:p w14:paraId="4F275B79" w14:textId="77777777" w:rsidR="005A6EFD" w:rsidRPr="0038122B" w:rsidRDefault="00B67A8E" w:rsidP="009F2023">
      <w:pPr>
        <w:pStyle w:val="Heading2"/>
        <w:spacing w:after="43" w:line="286" w:lineRule="auto"/>
        <w:ind w:left="0"/>
        <w:rPr>
          <w:sz w:val="18"/>
          <w:szCs w:val="18"/>
        </w:rPr>
      </w:pPr>
      <w:r w:rsidRPr="0038122B">
        <w:rPr>
          <w:sz w:val="18"/>
          <w:szCs w:val="18"/>
        </w:rPr>
        <w:t>Vegetative Growth</w:t>
      </w:r>
    </w:p>
    <w:p w14:paraId="33ED0328"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At 45 days after sowing (DAS), the plant height and stem diameter were measured two centimeters above the soil. The leaf numbers and both shoot and root fresh weights were recorded. Roots were carefully washed to remove the growing media while preserving fine root structures.</w:t>
      </w:r>
    </w:p>
    <w:p w14:paraId="36107233" w14:textId="77777777" w:rsidR="005A6EFD" w:rsidRPr="0038122B" w:rsidRDefault="00B67A8E" w:rsidP="009F2023">
      <w:pPr>
        <w:pStyle w:val="Heading2"/>
        <w:spacing w:after="43" w:line="286" w:lineRule="auto"/>
        <w:ind w:left="0"/>
        <w:rPr>
          <w:sz w:val="18"/>
          <w:szCs w:val="18"/>
        </w:rPr>
      </w:pPr>
      <w:r w:rsidRPr="0038122B">
        <w:rPr>
          <w:sz w:val="18"/>
          <w:szCs w:val="18"/>
        </w:rPr>
        <w:t>Flower Color Intensity and Morphology</w:t>
      </w:r>
    </w:p>
    <w:p w14:paraId="4DA61B68" w14:textId="67429F25"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At first full bloom (about 65 DAS), three flowers per plant were randomly selected for analysis. Flower diameter was measured using a digital caliper. Anthocyanin content was determined spectrophotometrically and expressed as relative optical density (OD</w:t>
      </w:r>
      <w:r w:rsidRPr="0038122B">
        <w:rPr>
          <w:rFonts w:ascii="Cambria Math" w:eastAsiaTheme="minorHAnsi" w:hAnsi="Cambria Math" w:cs="Cambria Math"/>
        </w:rPr>
        <w:t>₅₃₀</w:t>
      </w:r>
      <w:r w:rsidRPr="0038122B">
        <w:rPr>
          <w:rFonts w:asciiTheme="minorBidi" w:eastAsiaTheme="minorHAnsi" w:hAnsiTheme="minorBidi" w:cstheme="minorBidi"/>
        </w:rPr>
        <w:t>) per gram of fresh petal tissue. Anthocyanins were extracted in acidified methanol (1% HCl), and the absorbance was measured at 530 nm using a UV–Vis spectrophotometer. No external reference standard was used, as the analysis aimed to compare the relative anthocyanin accumulation among treatments under identical extraction and</w:t>
      </w:r>
      <w:r w:rsidR="00B13AD6" w:rsidRPr="0038122B">
        <w:rPr>
          <w:rFonts w:asciiTheme="minorBidi" w:eastAsiaTheme="minorHAnsi" w:hAnsiTheme="minorBidi" w:cstheme="minorBidi"/>
        </w:rPr>
        <w:t xml:space="preserve"> </w:t>
      </w:r>
      <w:r w:rsidRPr="0038122B">
        <w:rPr>
          <w:rFonts w:asciiTheme="minorBidi" w:eastAsiaTheme="minorHAnsi" w:hAnsiTheme="minorBidi" w:cstheme="minorBidi"/>
        </w:rPr>
        <w:t>measurement conditions. The results were reported as optical density per gram of fresh petal tissue.</w:t>
      </w:r>
    </w:p>
    <w:p w14:paraId="6C781DFB" w14:textId="77777777" w:rsidR="005A6EFD" w:rsidRPr="0038122B" w:rsidRDefault="00B67A8E" w:rsidP="009F2023">
      <w:pPr>
        <w:pStyle w:val="Heading2"/>
        <w:spacing w:after="43" w:line="286" w:lineRule="auto"/>
        <w:ind w:left="0"/>
        <w:rPr>
          <w:sz w:val="18"/>
          <w:szCs w:val="18"/>
        </w:rPr>
      </w:pPr>
      <w:r w:rsidRPr="0038122B">
        <w:rPr>
          <w:sz w:val="18"/>
          <w:szCs w:val="18"/>
        </w:rPr>
        <w:lastRenderedPageBreak/>
        <w:t>Abiotic Stress Tolerance</w:t>
      </w:r>
    </w:p>
    <w:p w14:paraId="57231F7E"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 xml:space="preserve">At 60 DAS (days after sowing), both abiotic stress simulations were applied sequentially. Drought and salinity stress were imposed sequentially to avoid confounding interactive effects and better isolate plant physiological responses to cumulative abiotic stress. Drought stress was first applied by withholding irrigation for 7 days, simulating a common water-deficit scenario in containerized greenhouse systems. Following rehydration, salinity stress was imposed by irrigating the plants with 150 mM NaCl solution for five consecutive days. This sequence reflects the practical </w:t>
      </w:r>
      <w:r w:rsidRPr="0038122B">
        <w:rPr>
          <w:rFonts w:asciiTheme="minorBidi" w:eastAsiaTheme="minorHAnsi" w:hAnsiTheme="minorBidi" w:cstheme="minorBidi"/>
        </w:rPr>
        <w:lastRenderedPageBreak/>
        <w:t>production conditions in which salinity stress may occur after drought during re-irrigation. Physiological parameters were measured after the completion of both stress phases to evaluate overall stress tolerance and recovery capacity. Leaf relative water content (RWC), chlorophyll stability index (CSI), and survival rate were measured. RWC was calculated using the following formula [22]:</w:t>
      </w:r>
    </w:p>
    <w:p w14:paraId="797C019B" w14:textId="77777777" w:rsidR="005A6EFD" w:rsidRDefault="00B67A8E" w:rsidP="009F2023">
      <w:pPr>
        <w:pStyle w:val="BodyText"/>
        <w:spacing w:after="43" w:line="286" w:lineRule="auto"/>
        <w:jc w:val="both"/>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7304192" behindDoc="1" locked="0" layoutInCell="1" allowOverlap="1" wp14:anchorId="25A25267" wp14:editId="5F400A30">
                <wp:simplePos x="0" y="0"/>
                <wp:positionH relativeFrom="page">
                  <wp:posOffset>1384553</wp:posOffset>
                </wp:positionH>
                <wp:positionV relativeFrom="paragraph">
                  <wp:posOffset>119967</wp:posOffset>
                </wp:positionV>
                <wp:extent cx="315595" cy="508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595" cy="5080"/>
                        </a:xfrm>
                        <a:custGeom>
                          <a:avLst/>
                          <a:gdLst/>
                          <a:ahLst/>
                          <a:cxnLst/>
                          <a:rect l="l" t="t" r="r" b="b"/>
                          <a:pathLst>
                            <a:path w="315595" h="5080">
                              <a:moveTo>
                                <a:pt x="315277" y="0"/>
                              </a:moveTo>
                              <a:lnTo>
                                <a:pt x="0" y="0"/>
                              </a:lnTo>
                              <a:lnTo>
                                <a:pt x="0" y="5079"/>
                              </a:lnTo>
                              <a:lnTo>
                                <a:pt x="315277" y="5079"/>
                              </a:lnTo>
                              <a:lnTo>
                                <a:pt x="315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F6194C" id="Graphic 12" o:spid="_x0000_s1026" style="position:absolute;margin-left:109pt;margin-top:9.45pt;width:24.85pt;height:.4pt;z-index:-16012288;visibility:visible;mso-wrap-style:square;mso-wrap-distance-left:0;mso-wrap-distance-top:0;mso-wrap-distance-right:0;mso-wrap-distance-bottom:0;mso-position-horizontal:absolute;mso-position-horizontal-relative:page;mso-position-vertical:absolute;mso-position-vertical-relative:text;v-text-anchor:top" coordsize="31559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" path="m315277,l,,,5079r315277,l315277,xe" fillcolor="black" stroked="f">
                <v:path arrowok="t"/>
                <w10:wrap anchorx="page"/>
              </v:shape>
            </w:pict>
          </mc:Fallback>
        </mc:AlternateContent>
      </w:r>
      <w:r>
        <w:t>RWC</w:t>
      </w:r>
      <w:r>
        <w:rPr>
          <w:spacing w:val="13"/>
        </w:rPr>
        <w:t xml:space="preserve"> </w:t>
      </w:r>
      <w:r>
        <w:t>(%)=</w:t>
      </w:r>
      <w:r>
        <w:rPr>
          <w:spacing w:val="6"/>
        </w:rPr>
        <w:t xml:space="preserve"> </w:t>
      </w:r>
      <w:r>
        <w:rPr>
          <w:rFonts w:ascii="Cambria Math" w:eastAsia="Cambria Math" w:hAnsi="Cambria Math"/>
          <w:vertAlign w:val="superscript"/>
        </w:rPr>
        <w:t>𝐹𝑊−𝐷𝑊</w:t>
      </w:r>
      <w:r>
        <w:rPr>
          <w:rFonts w:ascii="Cambria Math" w:eastAsia="Cambria Math" w:hAnsi="Cambria Math"/>
          <w:spacing w:val="67"/>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spacing w:val="-5"/>
        </w:rPr>
        <w:t>100</w:t>
      </w:r>
    </w:p>
    <w:p w14:paraId="25569989" w14:textId="77777777" w:rsidR="005A6EFD" w:rsidRDefault="00B67A8E" w:rsidP="009F2023">
      <w:pPr>
        <w:spacing w:after="43" w:line="286" w:lineRule="auto"/>
        <w:rPr>
          <w:rFonts w:ascii="Cambria Math" w:eastAsia="Cambria Math" w:hAnsi="Cambria Math"/>
          <w:sz w:val="11"/>
        </w:rPr>
      </w:pPr>
      <w:r>
        <w:rPr>
          <w:rFonts w:ascii="Cambria Math" w:eastAsia="Cambria Math" w:hAnsi="Cambria Math"/>
          <w:spacing w:val="-4"/>
          <w:w w:val="105"/>
          <w:sz w:val="11"/>
        </w:rPr>
        <w:t>𝑇𝑊−𝐷𝑊</w:t>
      </w:r>
    </w:p>
    <w:p w14:paraId="064CEAEC"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where FW = fresh weight, TW = turgid weight, DW = dry weight.</w:t>
      </w:r>
    </w:p>
    <w:p w14:paraId="71CED269" w14:textId="77777777" w:rsidR="005A6EFD" w:rsidRPr="0038122B" w:rsidRDefault="00B67A8E" w:rsidP="009F2023">
      <w:pPr>
        <w:pStyle w:val="Heading2"/>
        <w:spacing w:after="43" w:line="286" w:lineRule="auto"/>
        <w:ind w:left="0"/>
        <w:rPr>
          <w:sz w:val="18"/>
          <w:szCs w:val="18"/>
        </w:rPr>
      </w:pPr>
      <w:r w:rsidRPr="0038122B">
        <w:rPr>
          <w:sz w:val="18"/>
          <w:szCs w:val="18"/>
        </w:rPr>
        <w:t>Statistical analysis</w:t>
      </w:r>
    </w:p>
    <w:p w14:paraId="266B0D04" w14:textId="21026A8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 xml:space="preserve">Data were analyzed using one-way analysis of variance (ANOVA) appropriate for a completely randomized design (CRD). Treatment means were compared using the least significant difference (LSD) test at P ≤ 0.05. Statistical analyses were performed using CoStat (version 6.451) and Microsoft Excel (Office 2010). Each measured parameter was analyzed independently using a one-way analysis of variance (ANOVA) to evaluate the effects of the fertilization treatments. </w:t>
      </w:r>
      <w:r w:rsidR="00C431B7" w:rsidRPr="00C431B7">
        <w:rPr>
          <w:rFonts w:asciiTheme="minorBidi" w:eastAsiaTheme="minorHAnsi" w:hAnsiTheme="minorBidi" w:cstheme="minorBidi"/>
        </w:rPr>
        <w:t>The reported significance levels indicate significant (P ≤ 0.05), highly significant (P ≤ 0.01), and very highly significant (P ≤ 0.001) treatment effects for each parameter. When ANOVA results were significant (P ≤ 0.05), treatment means were separated using the Least Significant Difference (LSD) test at P = 0.05.</w:t>
      </w:r>
    </w:p>
    <w:p w14:paraId="536E0E05" w14:textId="77777777" w:rsidR="005A6EFD" w:rsidRPr="0038122B" w:rsidRDefault="00B67A8E" w:rsidP="009F2023">
      <w:pPr>
        <w:pStyle w:val="Heading2"/>
        <w:spacing w:after="43" w:line="286" w:lineRule="auto"/>
        <w:ind w:left="0"/>
        <w:rPr>
          <w:sz w:val="20"/>
          <w:szCs w:val="20"/>
        </w:rPr>
      </w:pPr>
      <w:r w:rsidRPr="0038122B">
        <w:rPr>
          <w:sz w:val="20"/>
          <w:szCs w:val="20"/>
        </w:rPr>
        <w:t>Results</w:t>
      </w:r>
    </w:p>
    <w:p w14:paraId="401CC589" w14:textId="77777777" w:rsidR="005A6EFD" w:rsidRPr="0038122B" w:rsidRDefault="00B67A8E" w:rsidP="009F2023">
      <w:pPr>
        <w:pStyle w:val="Heading2"/>
        <w:spacing w:after="43" w:line="286" w:lineRule="auto"/>
        <w:ind w:left="0"/>
        <w:rPr>
          <w:sz w:val="18"/>
          <w:szCs w:val="18"/>
        </w:rPr>
      </w:pPr>
      <w:r w:rsidRPr="0038122B">
        <w:rPr>
          <w:sz w:val="18"/>
          <w:szCs w:val="18"/>
        </w:rPr>
        <w:t>Seed Germination Response</w:t>
      </w:r>
    </w:p>
    <w:p w14:paraId="2AD2EBF1"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Different types of organic inputs led to differences in the seed germination of Mirabilis jalapa (Table 1). The highest germination percentage was observed in the combination (BG+AM) treatment (93 %), which was significantly higher than bat guano (85 %), alpaca manure (81%), and commercial fertilizer (78%). The control was the lowest (72%).</w:t>
      </w:r>
    </w:p>
    <w:p w14:paraId="78B247DA" w14:textId="4358B9F9" w:rsidR="005A6EFD" w:rsidRPr="008E1801" w:rsidRDefault="00B67A8E" w:rsidP="009F2023">
      <w:pPr>
        <w:pStyle w:val="BodyText"/>
        <w:spacing w:after="43" w:line="286" w:lineRule="auto"/>
        <w:jc w:val="both"/>
        <w:rPr>
          <w:rFonts w:asciiTheme="minorBidi" w:eastAsiaTheme="minorHAnsi" w:hAnsiTheme="minorBidi" w:cstheme="minorBidi"/>
          <w:sz w:val="14"/>
          <w:szCs w:val="14"/>
        </w:rPr>
      </w:pPr>
      <w:r w:rsidRPr="008E1801">
        <w:rPr>
          <w:rFonts w:asciiTheme="minorBidi" w:eastAsiaTheme="minorHAnsi" w:hAnsiTheme="minorBidi" w:cstheme="minorBidi"/>
          <w:b/>
          <w:bCs/>
          <w:sz w:val="14"/>
          <w:szCs w:val="14"/>
        </w:rPr>
        <w:t xml:space="preserve">Table </w:t>
      </w:r>
      <w:r w:rsidR="008E1801" w:rsidRPr="008E1801">
        <w:rPr>
          <w:rFonts w:asciiTheme="minorBidi" w:eastAsiaTheme="minorHAnsi" w:hAnsiTheme="minorBidi" w:cstheme="minorBidi"/>
          <w:b/>
          <w:bCs/>
          <w:sz w:val="14"/>
          <w:szCs w:val="14"/>
          <w:lang w:bidi="ar-JO"/>
        </w:rPr>
        <w:t>(1)</w:t>
      </w:r>
      <w:r w:rsidRPr="008E1801">
        <w:rPr>
          <w:rFonts w:asciiTheme="minorBidi" w:eastAsiaTheme="minorHAnsi" w:hAnsiTheme="minorBidi" w:cstheme="minorBidi"/>
          <w:b/>
          <w:bCs/>
          <w:sz w:val="14"/>
          <w:szCs w:val="14"/>
        </w:rPr>
        <w:t>:</w:t>
      </w:r>
      <w:r w:rsidRPr="008E1801">
        <w:rPr>
          <w:rFonts w:asciiTheme="minorBidi" w:eastAsiaTheme="minorHAnsi" w:hAnsiTheme="minorBidi" w:cstheme="minorBidi"/>
          <w:sz w:val="14"/>
          <w:szCs w:val="14"/>
        </w:rPr>
        <w:t xml:space="preserve"> Germination and Plant Height of </w:t>
      </w:r>
      <w:r w:rsidRPr="008E1801">
        <w:rPr>
          <w:rFonts w:asciiTheme="minorBidi" w:eastAsiaTheme="minorHAnsi" w:hAnsiTheme="minorBidi" w:cstheme="minorBidi"/>
          <w:i/>
          <w:iCs/>
          <w:sz w:val="14"/>
          <w:szCs w:val="14"/>
        </w:rPr>
        <w:t>Mirabilis jalapa</w:t>
      </w:r>
      <w:r w:rsidR="008E1801" w:rsidRPr="008E1801">
        <w:rPr>
          <w:rFonts w:asciiTheme="minorBidi" w:eastAsiaTheme="minorHAnsi" w:hAnsiTheme="minorBidi" w:cstheme="minorBidi"/>
          <w:i/>
          <w:iCs/>
          <w:sz w:val="14"/>
          <w:szCs w:val="14"/>
        </w:rPr>
        <w:t>.</w:t>
      </w:r>
    </w:p>
    <w:tbl>
      <w:tblPr>
        <w:tblStyle w:val="TableGrid"/>
        <w:tblW w:w="5000" w:type="pct"/>
        <w:jc w:val="center"/>
        <w:tblInd w:w="0" w:type="dxa"/>
        <w:tblLayout w:type="fixed"/>
        <w:tblLook w:val="01E0" w:firstRow="1" w:lastRow="1" w:firstColumn="1" w:lastColumn="1" w:noHBand="0" w:noVBand="0"/>
      </w:tblPr>
      <w:tblGrid>
        <w:gridCol w:w="1930"/>
        <w:gridCol w:w="1343"/>
        <w:gridCol w:w="1461"/>
      </w:tblGrid>
      <w:tr w:rsidR="005A6EFD" w:rsidRPr="008E1801" w14:paraId="5060ABBC" w14:textId="77777777" w:rsidTr="00FF2F8D">
        <w:trPr>
          <w:trHeight w:val="170"/>
          <w:jc w:val="center"/>
        </w:trPr>
        <w:tc>
          <w:tcPr>
            <w:tcW w:w="1838" w:type="dxa"/>
          </w:tcPr>
          <w:p w14:paraId="1AE1F69A" w14:textId="77777777" w:rsidR="005A6EFD" w:rsidRPr="008E1801" w:rsidRDefault="00B67A8E" w:rsidP="009F2023">
            <w:pPr>
              <w:pStyle w:val="TableParagraph"/>
              <w:spacing w:before="0" w:after="43" w:line="286" w:lineRule="auto"/>
              <w:ind w:left="0"/>
              <w:rPr>
                <w:rFonts w:asciiTheme="minorBidi" w:hAnsiTheme="minorBidi" w:cstheme="minorBidi"/>
                <w:b/>
                <w:sz w:val="14"/>
                <w:szCs w:val="14"/>
              </w:rPr>
            </w:pPr>
            <w:r w:rsidRPr="008E1801">
              <w:rPr>
                <w:rFonts w:asciiTheme="minorBidi" w:hAnsiTheme="minorBidi" w:cstheme="minorBidi"/>
                <w:b/>
                <w:spacing w:val="-2"/>
                <w:sz w:val="14"/>
                <w:szCs w:val="14"/>
              </w:rPr>
              <w:t>Treatment</w:t>
            </w:r>
          </w:p>
        </w:tc>
        <w:tc>
          <w:tcPr>
            <w:tcW w:w="1279" w:type="dxa"/>
          </w:tcPr>
          <w:p w14:paraId="69BE4437" w14:textId="77777777" w:rsidR="005A6EFD" w:rsidRPr="008E1801" w:rsidRDefault="00B67A8E" w:rsidP="009F2023">
            <w:pPr>
              <w:pStyle w:val="TableParagraph"/>
              <w:spacing w:before="0" w:after="43" w:line="286" w:lineRule="auto"/>
              <w:ind w:left="0"/>
              <w:rPr>
                <w:rFonts w:asciiTheme="minorBidi" w:hAnsiTheme="minorBidi" w:cstheme="minorBidi"/>
                <w:b/>
                <w:sz w:val="14"/>
                <w:szCs w:val="14"/>
              </w:rPr>
            </w:pPr>
            <w:r w:rsidRPr="008E1801">
              <w:rPr>
                <w:rFonts w:asciiTheme="minorBidi" w:hAnsiTheme="minorBidi" w:cstheme="minorBidi"/>
                <w:b/>
                <w:sz w:val="14"/>
                <w:szCs w:val="14"/>
              </w:rPr>
              <w:t>Germination</w:t>
            </w:r>
            <w:r w:rsidRPr="008E1801">
              <w:rPr>
                <w:rFonts w:asciiTheme="minorBidi" w:hAnsiTheme="minorBidi" w:cstheme="minorBidi"/>
                <w:b/>
                <w:spacing w:val="-9"/>
                <w:sz w:val="14"/>
                <w:szCs w:val="14"/>
              </w:rPr>
              <w:t xml:space="preserve"> </w:t>
            </w:r>
            <w:r w:rsidRPr="008E1801">
              <w:rPr>
                <w:rFonts w:asciiTheme="minorBidi" w:hAnsiTheme="minorBidi" w:cstheme="minorBidi"/>
                <w:b/>
                <w:spacing w:val="-5"/>
                <w:sz w:val="14"/>
                <w:szCs w:val="14"/>
              </w:rPr>
              <w:t>(%)</w:t>
            </w:r>
          </w:p>
        </w:tc>
        <w:tc>
          <w:tcPr>
            <w:tcW w:w="1391" w:type="dxa"/>
          </w:tcPr>
          <w:p w14:paraId="434BDCC1" w14:textId="77777777" w:rsidR="005A6EFD" w:rsidRPr="008E1801" w:rsidRDefault="00B67A8E" w:rsidP="009F2023">
            <w:pPr>
              <w:pStyle w:val="TableParagraph"/>
              <w:spacing w:before="0" w:after="43" w:line="286" w:lineRule="auto"/>
              <w:ind w:left="0"/>
              <w:rPr>
                <w:rFonts w:asciiTheme="minorBidi" w:hAnsiTheme="minorBidi" w:cstheme="minorBidi"/>
                <w:b/>
                <w:sz w:val="14"/>
                <w:szCs w:val="14"/>
              </w:rPr>
            </w:pPr>
            <w:r w:rsidRPr="008E1801">
              <w:rPr>
                <w:rFonts w:asciiTheme="minorBidi" w:hAnsiTheme="minorBidi" w:cstheme="minorBidi"/>
                <w:b/>
                <w:sz w:val="14"/>
                <w:szCs w:val="14"/>
              </w:rPr>
              <w:t>Plant</w:t>
            </w:r>
            <w:r w:rsidRPr="008E1801">
              <w:rPr>
                <w:rFonts w:asciiTheme="minorBidi" w:hAnsiTheme="minorBidi" w:cstheme="minorBidi"/>
                <w:b/>
                <w:spacing w:val="-8"/>
                <w:sz w:val="14"/>
                <w:szCs w:val="14"/>
              </w:rPr>
              <w:t xml:space="preserve"> </w:t>
            </w:r>
            <w:r w:rsidRPr="008E1801">
              <w:rPr>
                <w:rFonts w:asciiTheme="minorBidi" w:hAnsiTheme="minorBidi" w:cstheme="minorBidi"/>
                <w:b/>
                <w:sz w:val="14"/>
                <w:szCs w:val="14"/>
              </w:rPr>
              <w:t>Height</w:t>
            </w:r>
            <w:r w:rsidRPr="008E1801">
              <w:rPr>
                <w:rFonts w:asciiTheme="minorBidi" w:hAnsiTheme="minorBidi" w:cstheme="minorBidi"/>
                <w:b/>
                <w:spacing w:val="-5"/>
                <w:sz w:val="14"/>
                <w:szCs w:val="14"/>
              </w:rPr>
              <w:t xml:space="preserve"> </w:t>
            </w:r>
            <w:r w:rsidRPr="008E1801">
              <w:rPr>
                <w:rFonts w:asciiTheme="minorBidi" w:hAnsiTheme="minorBidi" w:cstheme="minorBidi"/>
                <w:b/>
                <w:spacing w:val="-4"/>
                <w:sz w:val="14"/>
                <w:szCs w:val="14"/>
              </w:rPr>
              <w:t>(cm)</w:t>
            </w:r>
          </w:p>
        </w:tc>
      </w:tr>
      <w:tr w:rsidR="005A6EFD" w:rsidRPr="008E1801" w14:paraId="1938EF47" w14:textId="77777777" w:rsidTr="00FF2F8D">
        <w:trPr>
          <w:trHeight w:val="170"/>
          <w:jc w:val="center"/>
        </w:trPr>
        <w:tc>
          <w:tcPr>
            <w:tcW w:w="1838" w:type="dxa"/>
          </w:tcPr>
          <w:p w14:paraId="27A91A0C" w14:textId="77777777" w:rsidR="005A6EFD" w:rsidRPr="008E1801" w:rsidRDefault="00B67A8E" w:rsidP="009F2023">
            <w:pPr>
              <w:pStyle w:val="TableParagraph"/>
              <w:spacing w:before="0" w:after="43" w:line="286" w:lineRule="auto"/>
              <w:ind w:left="0"/>
              <w:jc w:val="left"/>
              <w:rPr>
                <w:rFonts w:asciiTheme="minorBidi" w:hAnsiTheme="minorBidi" w:cstheme="minorBidi"/>
                <w:sz w:val="14"/>
                <w:szCs w:val="14"/>
              </w:rPr>
            </w:pPr>
            <w:r w:rsidRPr="008E1801">
              <w:rPr>
                <w:rFonts w:asciiTheme="minorBidi" w:hAnsiTheme="minorBidi" w:cstheme="minorBidi"/>
                <w:spacing w:val="-2"/>
                <w:sz w:val="14"/>
                <w:szCs w:val="14"/>
              </w:rPr>
              <w:t>Control</w:t>
            </w:r>
          </w:p>
        </w:tc>
        <w:tc>
          <w:tcPr>
            <w:tcW w:w="1279" w:type="dxa"/>
          </w:tcPr>
          <w:p w14:paraId="1D591488"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72±2.1</w:t>
            </w:r>
            <w:r w:rsidRPr="008E1801">
              <w:rPr>
                <w:rFonts w:asciiTheme="minorBidi" w:hAnsiTheme="minorBidi" w:cstheme="minorBidi"/>
                <w:spacing w:val="1"/>
                <w:sz w:val="14"/>
                <w:szCs w:val="14"/>
              </w:rPr>
              <w:t xml:space="preserve"> </w:t>
            </w:r>
            <w:r w:rsidRPr="008E1801">
              <w:rPr>
                <w:rFonts w:asciiTheme="minorBidi" w:hAnsiTheme="minorBidi" w:cstheme="minorBidi"/>
                <w:spacing w:val="-10"/>
                <w:sz w:val="14"/>
                <w:szCs w:val="14"/>
                <w:vertAlign w:val="superscript"/>
              </w:rPr>
              <w:t>d</w:t>
            </w:r>
          </w:p>
        </w:tc>
        <w:tc>
          <w:tcPr>
            <w:tcW w:w="1391" w:type="dxa"/>
          </w:tcPr>
          <w:p w14:paraId="7D755488"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21.3±1.2</w:t>
            </w:r>
            <w:r w:rsidRPr="008E1801">
              <w:rPr>
                <w:rFonts w:asciiTheme="minorBidi" w:hAnsiTheme="minorBidi" w:cstheme="minorBidi"/>
                <w:spacing w:val="3"/>
                <w:sz w:val="14"/>
                <w:szCs w:val="14"/>
              </w:rPr>
              <w:t xml:space="preserve"> </w:t>
            </w:r>
            <w:r w:rsidRPr="008E1801">
              <w:rPr>
                <w:rFonts w:asciiTheme="minorBidi" w:hAnsiTheme="minorBidi" w:cstheme="minorBidi"/>
                <w:spacing w:val="-10"/>
                <w:sz w:val="14"/>
                <w:szCs w:val="14"/>
                <w:vertAlign w:val="superscript"/>
              </w:rPr>
              <w:t>d</w:t>
            </w:r>
          </w:p>
        </w:tc>
      </w:tr>
      <w:tr w:rsidR="005A6EFD" w:rsidRPr="008E1801" w14:paraId="14B60DA9" w14:textId="77777777" w:rsidTr="00FF2F8D">
        <w:trPr>
          <w:trHeight w:val="170"/>
          <w:jc w:val="center"/>
        </w:trPr>
        <w:tc>
          <w:tcPr>
            <w:tcW w:w="1838" w:type="dxa"/>
          </w:tcPr>
          <w:p w14:paraId="384032A9" w14:textId="77777777" w:rsidR="005A6EFD" w:rsidRPr="008E1801" w:rsidRDefault="00B67A8E" w:rsidP="009F2023">
            <w:pPr>
              <w:pStyle w:val="TableParagraph"/>
              <w:spacing w:before="0" w:after="43" w:line="286" w:lineRule="auto"/>
              <w:ind w:left="0"/>
              <w:jc w:val="left"/>
              <w:rPr>
                <w:rFonts w:asciiTheme="minorBidi" w:hAnsiTheme="minorBidi" w:cstheme="minorBidi"/>
                <w:sz w:val="14"/>
                <w:szCs w:val="14"/>
              </w:rPr>
            </w:pPr>
            <w:r w:rsidRPr="008E1801">
              <w:rPr>
                <w:rFonts w:asciiTheme="minorBidi" w:hAnsiTheme="minorBidi" w:cstheme="minorBidi"/>
                <w:sz w:val="14"/>
                <w:szCs w:val="14"/>
              </w:rPr>
              <w:t>Bat</w:t>
            </w:r>
            <w:r w:rsidRPr="008E1801">
              <w:rPr>
                <w:rFonts w:asciiTheme="minorBidi" w:hAnsiTheme="minorBidi" w:cstheme="minorBidi"/>
                <w:spacing w:val="-3"/>
                <w:sz w:val="14"/>
                <w:szCs w:val="14"/>
              </w:rPr>
              <w:t xml:space="preserve"> </w:t>
            </w:r>
            <w:r w:rsidRPr="008E1801">
              <w:rPr>
                <w:rFonts w:asciiTheme="minorBidi" w:hAnsiTheme="minorBidi" w:cstheme="minorBidi"/>
                <w:spacing w:val="-2"/>
                <w:sz w:val="14"/>
                <w:szCs w:val="14"/>
              </w:rPr>
              <w:t>Guano</w:t>
            </w:r>
          </w:p>
        </w:tc>
        <w:tc>
          <w:tcPr>
            <w:tcW w:w="1279" w:type="dxa"/>
          </w:tcPr>
          <w:p w14:paraId="11E45C42"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85±2.4</w:t>
            </w:r>
            <w:r w:rsidRPr="008E1801">
              <w:rPr>
                <w:rFonts w:asciiTheme="minorBidi" w:hAnsiTheme="minorBidi" w:cstheme="minorBidi"/>
                <w:spacing w:val="1"/>
                <w:sz w:val="14"/>
                <w:szCs w:val="14"/>
              </w:rPr>
              <w:t xml:space="preserve"> </w:t>
            </w:r>
            <w:r w:rsidRPr="008E1801">
              <w:rPr>
                <w:rFonts w:asciiTheme="minorBidi" w:hAnsiTheme="minorBidi" w:cstheme="minorBidi"/>
                <w:spacing w:val="-10"/>
                <w:sz w:val="14"/>
                <w:szCs w:val="14"/>
                <w:vertAlign w:val="superscript"/>
              </w:rPr>
              <w:t>b</w:t>
            </w:r>
          </w:p>
        </w:tc>
        <w:tc>
          <w:tcPr>
            <w:tcW w:w="1391" w:type="dxa"/>
          </w:tcPr>
          <w:p w14:paraId="00B401CF"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26.7±1.3</w:t>
            </w:r>
            <w:r w:rsidRPr="008E1801">
              <w:rPr>
                <w:rFonts w:asciiTheme="minorBidi" w:hAnsiTheme="minorBidi" w:cstheme="minorBidi"/>
                <w:spacing w:val="3"/>
                <w:sz w:val="14"/>
                <w:szCs w:val="14"/>
              </w:rPr>
              <w:t xml:space="preserve"> </w:t>
            </w:r>
            <w:r w:rsidRPr="008E1801">
              <w:rPr>
                <w:rFonts w:asciiTheme="minorBidi" w:hAnsiTheme="minorBidi" w:cstheme="minorBidi"/>
                <w:spacing w:val="-10"/>
                <w:sz w:val="14"/>
                <w:szCs w:val="14"/>
                <w:vertAlign w:val="superscript"/>
              </w:rPr>
              <w:t>b</w:t>
            </w:r>
          </w:p>
        </w:tc>
      </w:tr>
      <w:tr w:rsidR="005A6EFD" w:rsidRPr="008E1801" w14:paraId="69D315C8" w14:textId="77777777" w:rsidTr="00FF2F8D">
        <w:trPr>
          <w:trHeight w:val="170"/>
          <w:jc w:val="center"/>
        </w:trPr>
        <w:tc>
          <w:tcPr>
            <w:tcW w:w="1838" w:type="dxa"/>
          </w:tcPr>
          <w:p w14:paraId="2736CD5C" w14:textId="77777777" w:rsidR="005A6EFD" w:rsidRPr="008E1801" w:rsidRDefault="00B67A8E" w:rsidP="009F2023">
            <w:pPr>
              <w:pStyle w:val="TableParagraph"/>
              <w:spacing w:before="0" w:after="43" w:line="286" w:lineRule="auto"/>
              <w:ind w:left="0"/>
              <w:jc w:val="left"/>
              <w:rPr>
                <w:rFonts w:asciiTheme="minorBidi" w:hAnsiTheme="minorBidi" w:cstheme="minorBidi"/>
                <w:sz w:val="14"/>
                <w:szCs w:val="14"/>
              </w:rPr>
            </w:pPr>
            <w:r w:rsidRPr="008E1801">
              <w:rPr>
                <w:rFonts w:asciiTheme="minorBidi" w:hAnsiTheme="minorBidi" w:cstheme="minorBidi"/>
                <w:sz w:val="14"/>
                <w:szCs w:val="14"/>
              </w:rPr>
              <w:t>Alpaca</w:t>
            </w:r>
            <w:r w:rsidRPr="008E1801">
              <w:rPr>
                <w:rFonts w:asciiTheme="minorBidi" w:hAnsiTheme="minorBidi" w:cstheme="minorBidi"/>
                <w:spacing w:val="-7"/>
                <w:sz w:val="14"/>
                <w:szCs w:val="14"/>
              </w:rPr>
              <w:t xml:space="preserve"> </w:t>
            </w:r>
            <w:r w:rsidRPr="008E1801">
              <w:rPr>
                <w:rFonts w:asciiTheme="minorBidi" w:hAnsiTheme="minorBidi" w:cstheme="minorBidi"/>
                <w:spacing w:val="-5"/>
                <w:sz w:val="14"/>
                <w:szCs w:val="14"/>
              </w:rPr>
              <w:t>M.</w:t>
            </w:r>
          </w:p>
        </w:tc>
        <w:tc>
          <w:tcPr>
            <w:tcW w:w="1279" w:type="dxa"/>
          </w:tcPr>
          <w:p w14:paraId="7C7113E7"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81±1.9</w:t>
            </w:r>
            <w:r w:rsidRPr="008E1801">
              <w:rPr>
                <w:rFonts w:asciiTheme="minorBidi" w:hAnsiTheme="minorBidi" w:cstheme="minorBidi"/>
                <w:spacing w:val="1"/>
                <w:sz w:val="14"/>
                <w:szCs w:val="14"/>
              </w:rPr>
              <w:t xml:space="preserve"> </w:t>
            </w:r>
            <w:r w:rsidRPr="008E1801">
              <w:rPr>
                <w:rFonts w:asciiTheme="minorBidi" w:hAnsiTheme="minorBidi" w:cstheme="minorBidi"/>
                <w:spacing w:val="-10"/>
                <w:sz w:val="14"/>
                <w:szCs w:val="14"/>
                <w:vertAlign w:val="superscript"/>
              </w:rPr>
              <w:t>c</w:t>
            </w:r>
          </w:p>
        </w:tc>
        <w:tc>
          <w:tcPr>
            <w:tcW w:w="1391" w:type="dxa"/>
          </w:tcPr>
          <w:p w14:paraId="1915866F"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25.4±1.1</w:t>
            </w:r>
            <w:r w:rsidRPr="008E1801">
              <w:rPr>
                <w:rFonts w:asciiTheme="minorBidi" w:hAnsiTheme="minorBidi" w:cstheme="minorBidi"/>
                <w:spacing w:val="3"/>
                <w:sz w:val="14"/>
                <w:szCs w:val="14"/>
              </w:rPr>
              <w:t xml:space="preserve"> </w:t>
            </w:r>
            <w:r w:rsidRPr="008E1801">
              <w:rPr>
                <w:rFonts w:asciiTheme="minorBidi" w:hAnsiTheme="minorBidi" w:cstheme="minorBidi"/>
                <w:spacing w:val="-10"/>
                <w:sz w:val="14"/>
                <w:szCs w:val="14"/>
                <w:vertAlign w:val="superscript"/>
              </w:rPr>
              <w:t>c</w:t>
            </w:r>
          </w:p>
        </w:tc>
      </w:tr>
      <w:tr w:rsidR="005A6EFD" w:rsidRPr="008E1801" w14:paraId="3B0BCC9F" w14:textId="77777777" w:rsidTr="00FF2F8D">
        <w:trPr>
          <w:trHeight w:val="170"/>
          <w:jc w:val="center"/>
        </w:trPr>
        <w:tc>
          <w:tcPr>
            <w:tcW w:w="1838" w:type="dxa"/>
          </w:tcPr>
          <w:p w14:paraId="61F7821B" w14:textId="77777777" w:rsidR="005A6EFD" w:rsidRPr="008E1801" w:rsidRDefault="00B67A8E" w:rsidP="009F2023">
            <w:pPr>
              <w:pStyle w:val="TableParagraph"/>
              <w:spacing w:before="0" w:after="43" w:line="286" w:lineRule="auto"/>
              <w:ind w:left="0"/>
              <w:jc w:val="left"/>
              <w:rPr>
                <w:rFonts w:asciiTheme="minorBidi" w:hAnsiTheme="minorBidi" w:cstheme="minorBidi"/>
                <w:sz w:val="14"/>
                <w:szCs w:val="14"/>
              </w:rPr>
            </w:pPr>
            <w:r w:rsidRPr="008E1801">
              <w:rPr>
                <w:rFonts w:asciiTheme="minorBidi" w:hAnsiTheme="minorBidi" w:cstheme="minorBidi"/>
                <w:sz w:val="14"/>
                <w:szCs w:val="14"/>
              </w:rPr>
              <w:t>Combo</w:t>
            </w:r>
            <w:r w:rsidRPr="008E1801">
              <w:rPr>
                <w:rFonts w:asciiTheme="minorBidi" w:hAnsiTheme="minorBidi" w:cstheme="minorBidi"/>
                <w:spacing w:val="-10"/>
                <w:sz w:val="14"/>
                <w:szCs w:val="14"/>
              </w:rPr>
              <w:t xml:space="preserve"> </w:t>
            </w:r>
            <w:r w:rsidRPr="008E1801">
              <w:rPr>
                <w:rFonts w:asciiTheme="minorBidi" w:hAnsiTheme="minorBidi" w:cstheme="minorBidi"/>
                <w:sz w:val="14"/>
                <w:szCs w:val="14"/>
              </w:rPr>
              <w:t>(Guano</w:t>
            </w:r>
            <w:r w:rsidRPr="008E1801">
              <w:rPr>
                <w:rFonts w:asciiTheme="minorBidi" w:hAnsiTheme="minorBidi" w:cstheme="minorBidi"/>
                <w:spacing w:val="-9"/>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40"/>
                <w:sz w:val="14"/>
                <w:szCs w:val="14"/>
              </w:rPr>
              <w:t xml:space="preserve"> </w:t>
            </w:r>
            <w:r w:rsidRPr="008E1801">
              <w:rPr>
                <w:rFonts w:asciiTheme="minorBidi" w:hAnsiTheme="minorBidi" w:cstheme="minorBidi"/>
                <w:spacing w:val="-2"/>
                <w:sz w:val="14"/>
                <w:szCs w:val="14"/>
              </w:rPr>
              <w:t>Alpaca)</w:t>
            </w:r>
          </w:p>
        </w:tc>
        <w:tc>
          <w:tcPr>
            <w:tcW w:w="1279" w:type="dxa"/>
          </w:tcPr>
          <w:p w14:paraId="6F472796"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93±1.6</w:t>
            </w:r>
            <w:r w:rsidRPr="008E1801">
              <w:rPr>
                <w:rFonts w:asciiTheme="minorBidi" w:hAnsiTheme="minorBidi" w:cstheme="minorBidi"/>
                <w:spacing w:val="1"/>
                <w:sz w:val="14"/>
                <w:szCs w:val="14"/>
              </w:rPr>
              <w:t xml:space="preserve"> </w:t>
            </w:r>
            <w:r w:rsidRPr="008E1801">
              <w:rPr>
                <w:rFonts w:asciiTheme="minorBidi" w:hAnsiTheme="minorBidi" w:cstheme="minorBidi"/>
                <w:spacing w:val="-10"/>
                <w:sz w:val="14"/>
                <w:szCs w:val="14"/>
                <w:vertAlign w:val="superscript"/>
              </w:rPr>
              <w:t>a</w:t>
            </w:r>
          </w:p>
        </w:tc>
        <w:tc>
          <w:tcPr>
            <w:tcW w:w="1391" w:type="dxa"/>
          </w:tcPr>
          <w:p w14:paraId="17C6A745"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30.8±1.5</w:t>
            </w:r>
            <w:r w:rsidRPr="008E1801">
              <w:rPr>
                <w:rFonts w:asciiTheme="minorBidi" w:hAnsiTheme="minorBidi" w:cstheme="minorBidi"/>
                <w:spacing w:val="3"/>
                <w:sz w:val="14"/>
                <w:szCs w:val="14"/>
              </w:rPr>
              <w:t xml:space="preserve"> </w:t>
            </w:r>
            <w:r w:rsidRPr="008E1801">
              <w:rPr>
                <w:rFonts w:asciiTheme="minorBidi" w:hAnsiTheme="minorBidi" w:cstheme="minorBidi"/>
                <w:spacing w:val="-10"/>
                <w:sz w:val="14"/>
                <w:szCs w:val="14"/>
                <w:vertAlign w:val="superscript"/>
              </w:rPr>
              <w:t>a</w:t>
            </w:r>
          </w:p>
        </w:tc>
      </w:tr>
      <w:tr w:rsidR="005A6EFD" w:rsidRPr="008E1801" w14:paraId="03518FD5" w14:textId="77777777" w:rsidTr="00FF2F8D">
        <w:trPr>
          <w:trHeight w:val="170"/>
          <w:jc w:val="center"/>
        </w:trPr>
        <w:tc>
          <w:tcPr>
            <w:tcW w:w="1838" w:type="dxa"/>
          </w:tcPr>
          <w:p w14:paraId="4EB5BF56" w14:textId="77777777" w:rsidR="005A6EFD" w:rsidRPr="008E1801" w:rsidRDefault="00B67A8E" w:rsidP="009F2023">
            <w:pPr>
              <w:pStyle w:val="TableParagraph"/>
              <w:spacing w:before="0" w:after="43" w:line="286" w:lineRule="auto"/>
              <w:ind w:left="0"/>
              <w:jc w:val="left"/>
              <w:rPr>
                <w:rFonts w:asciiTheme="minorBidi" w:hAnsiTheme="minorBidi" w:cstheme="minorBidi"/>
                <w:sz w:val="14"/>
                <w:szCs w:val="14"/>
              </w:rPr>
            </w:pPr>
            <w:r w:rsidRPr="008E1801">
              <w:rPr>
                <w:rFonts w:asciiTheme="minorBidi" w:hAnsiTheme="minorBidi" w:cstheme="minorBidi"/>
                <w:sz w:val="14"/>
                <w:szCs w:val="14"/>
              </w:rPr>
              <w:t>Commercial</w:t>
            </w:r>
            <w:r w:rsidRPr="008E1801">
              <w:rPr>
                <w:rFonts w:asciiTheme="minorBidi" w:hAnsiTheme="minorBidi" w:cstheme="minorBidi"/>
                <w:spacing w:val="-8"/>
                <w:sz w:val="14"/>
                <w:szCs w:val="14"/>
              </w:rPr>
              <w:t xml:space="preserve"> </w:t>
            </w:r>
            <w:r w:rsidRPr="008E1801">
              <w:rPr>
                <w:rFonts w:asciiTheme="minorBidi" w:hAnsiTheme="minorBidi" w:cstheme="minorBidi"/>
                <w:spacing w:val="-5"/>
                <w:sz w:val="14"/>
                <w:szCs w:val="14"/>
              </w:rPr>
              <w:t>F.</w:t>
            </w:r>
          </w:p>
        </w:tc>
        <w:tc>
          <w:tcPr>
            <w:tcW w:w="1279" w:type="dxa"/>
          </w:tcPr>
          <w:p w14:paraId="2D7A1C56"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78±2.3</w:t>
            </w:r>
            <w:r w:rsidRPr="008E1801">
              <w:rPr>
                <w:rFonts w:asciiTheme="minorBidi" w:hAnsiTheme="minorBidi" w:cstheme="minorBidi"/>
                <w:spacing w:val="1"/>
                <w:sz w:val="14"/>
                <w:szCs w:val="14"/>
              </w:rPr>
              <w:t xml:space="preserve"> </w:t>
            </w:r>
            <w:r w:rsidRPr="008E1801">
              <w:rPr>
                <w:rFonts w:asciiTheme="minorBidi" w:hAnsiTheme="minorBidi" w:cstheme="minorBidi"/>
                <w:spacing w:val="-10"/>
                <w:sz w:val="14"/>
                <w:szCs w:val="14"/>
                <w:vertAlign w:val="superscript"/>
              </w:rPr>
              <w:t>c</w:t>
            </w:r>
          </w:p>
        </w:tc>
        <w:tc>
          <w:tcPr>
            <w:tcW w:w="1391" w:type="dxa"/>
          </w:tcPr>
          <w:p w14:paraId="409DDDC4" w14:textId="77777777" w:rsidR="005A6EFD" w:rsidRPr="008E1801" w:rsidRDefault="00B67A8E" w:rsidP="009F2023">
            <w:pPr>
              <w:pStyle w:val="TableParagraph"/>
              <w:spacing w:before="0" w:after="43" w:line="286" w:lineRule="auto"/>
              <w:ind w:left="0"/>
              <w:rPr>
                <w:rFonts w:asciiTheme="minorBidi" w:hAnsiTheme="minorBidi" w:cstheme="minorBidi"/>
                <w:sz w:val="14"/>
                <w:szCs w:val="14"/>
              </w:rPr>
            </w:pPr>
            <w:r w:rsidRPr="008E1801">
              <w:rPr>
                <w:rFonts w:asciiTheme="minorBidi" w:hAnsiTheme="minorBidi" w:cstheme="minorBidi"/>
                <w:spacing w:val="-2"/>
                <w:sz w:val="14"/>
                <w:szCs w:val="14"/>
              </w:rPr>
              <w:t>24.1±1.4</w:t>
            </w:r>
            <w:r w:rsidRPr="008E1801">
              <w:rPr>
                <w:rFonts w:asciiTheme="minorBidi" w:hAnsiTheme="minorBidi" w:cstheme="minorBidi"/>
                <w:spacing w:val="3"/>
                <w:sz w:val="14"/>
                <w:szCs w:val="14"/>
              </w:rPr>
              <w:t xml:space="preserve"> </w:t>
            </w:r>
            <w:r w:rsidRPr="008E1801">
              <w:rPr>
                <w:rFonts w:asciiTheme="minorBidi" w:hAnsiTheme="minorBidi" w:cstheme="minorBidi"/>
                <w:spacing w:val="-10"/>
                <w:sz w:val="14"/>
                <w:szCs w:val="14"/>
                <w:vertAlign w:val="superscript"/>
              </w:rPr>
              <w:t>c</w:t>
            </w:r>
          </w:p>
        </w:tc>
      </w:tr>
      <w:tr w:rsidR="005A6EFD" w:rsidRPr="008E1801" w14:paraId="371F2ADF" w14:textId="77777777" w:rsidTr="00FF2F8D">
        <w:trPr>
          <w:trHeight w:val="170"/>
          <w:jc w:val="center"/>
        </w:trPr>
        <w:tc>
          <w:tcPr>
            <w:tcW w:w="1838" w:type="dxa"/>
          </w:tcPr>
          <w:p w14:paraId="6B0799DF" w14:textId="77777777" w:rsidR="005A6EFD" w:rsidRPr="008E1801" w:rsidRDefault="00B67A8E" w:rsidP="009F2023">
            <w:pPr>
              <w:pStyle w:val="TableParagraph"/>
              <w:spacing w:before="0" w:after="43" w:line="286" w:lineRule="auto"/>
              <w:ind w:left="0"/>
              <w:jc w:val="left"/>
              <w:rPr>
                <w:rFonts w:asciiTheme="minorBidi" w:hAnsiTheme="minorBidi" w:cstheme="minorBidi"/>
                <w:b/>
                <w:sz w:val="14"/>
                <w:szCs w:val="14"/>
              </w:rPr>
            </w:pPr>
            <w:r w:rsidRPr="008E1801">
              <w:rPr>
                <w:rFonts w:asciiTheme="minorBidi" w:hAnsiTheme="minorBidi" w:cstheme="minorBidi"/>
                <w:b/>
                <w:spacing w:val="-2"/>
                <w:sz w:val="14"/>
                <w:szCs w:val="14"/>
              </w:rPr>
              <w:t>ANOVA</w:t>
            </w:r>
          </w:p>
        </w:tc>
        <w:tc>
          <w:tcPr>
            <w:tcW w:w="1279" w:type="dxa"/>
          </w:tcPr>
          <w:p w14:paraId="1DA6E266" w14:textId="77777777" w:rsidR="005A6EFD" w:rsidRPr="008E1801" w:rsidRDefault="00B67A8E" w:rsidP="009F2023">
            <w:pPr>
              <w:pStyle w:val="TableParagraph"/>
              <w:spacing w:before="0" w:after="43" w:line="286" w:lineRule="auto"/>
              <w:ind w:left="0"/>
              <w:rPr>
                <w:rFonts w:asciiTheme="minorBidi" w:hAnsiTheme="minorBidi" w:cstheme="minorBidi"/>
                <w:b/>
                <w:sz w:val="14"/>
                <w:szCs w:val="14"/>
              </w:rPr>
            </w:pPr>
            <w:r w:rsidRPr="008E1801">
              <w:rPr>
                <w:rFonts w:asciiTheme="minorBidi" w:hAnsiTheme="minorBidi" w:cstheme="minorBidi"/>
                <w:b/>
                <w:spacing w:val="-5"/>
                <w:sz w:val="14"/>
                <w:szCs w:val="14"/>
              </w:rPr>
              <w:t>***</w:t>
            </w:r>
          </w:p>
        </w:tc>
        <w:tc>
          <w:tcPr>
            <w:tcW w:w="1391" w:type="dxa"/>
          </w:tcPr>
          <w:p w14:paraId="26481A21" w14:textId="77777777" w:rsidR="005A6EFD" w:rsidRPr="008E1801" w:rsidRDefault="00B67A8E" w:rsidP="009F2023">
            <w:pPr>
              <w:pStyle w:val="TableParagraph"/>
              <w:spacing w:before="0" w:after="43" w:line="286" w:lineRule="auto"/>
              <w:ind w:left="0"/>
              <w:rPr>
                <w:rFonts w:asciiTheme="minorBidi" w:hAnsiTheme="minorBidi" w:cstheme="minorBidi"/>
                <w:b/>
                <w:sz w:val="14"/>
                <w:szCs w:val="14"/>
              </w:rPr>
            </w:pPr>
            <w:r w:rsidRPr="008E1801">
              <w:rPr>
                <w:rFonts w:asciiTheme="minorBidi" w:hAnsiTheme="minorBidi" w:cstheme="minorBidi"/>
                <w:b/>
                <w:spacing w:val="-5"/>
                <w:sz w:val="14"/>
                <w:szCs w:val="14"/>
              </w:rPr>
              <w:t>***</w:t>
            </w:r>
          </w:p>
        </w:tc>
      </w:tr>
    </w:tbl>
    <w:p w14:paraId="7796F5FC" w14:textId="77777777" w:rsidR="005A6EFD" w:rsidRPr="008E1801" w:rsidRDefault="00B67A8E" w:rsidP="009F2023">
      <w:pPr>
        <w:spacing w:after="43" w:line="286" w:lineRule="auto"/>
        <w:jc w:val="both"/>
        <w:rPr>
          <w:rFonts w:asciiTheme="minorBidi" w:hAnsiTheme="minorBidi" w:cstheme="minorBidi"/>
          <w:sz w:val="14"/>
          <w:szCs w:val="14"/>
        </w:rPr>
      </w:pPr>
      <w:r w:rsidRPr="008E1801">
        <w:rPr>
          <w:rFonts w:asciiTheme="minorBidi" w:hAnsiTheme="minorBidi" w:cstheme="minorBidi"/>
          <w:sz w:val="14"/>
          <w:szCs w:val="14"/>
        </w:rPr>
        <w:t>Values represent mean ± standard deviation (SD). Treatment effects</w:t>
      </w:r>
      <w:r w:rsidRPr="008E1801">
        <w:rPr>
          <w:rFonts w:asciiTheme="minorBidi" w:hAnsiTheme="minorBidi" w:cstheme="minorBidi"/>
          <w:spacing w:val="40"/>
          <w:sz w:val="14"/>
          <w:szCs w:val="14"/>
        </w:rPr>
        <w:t xml:space="preserve"> </w:t>
      </w:r>
      <w:r w:rsidRPr="008E1801">
        <w:rPr>
          <w:rFonts w:asciiTheme="minorBidi" w:hAnsiTheme="minorBidi" w:cstheme="minorBidi"/>
          <w:sz w:val="14"/>
          <w:szCs w:val="14"/>
        </w:rPr>
        <w:t>were evaluated by one-way ANOVA, and mean separation was</w:t>
      </w:r>
      <w:r w:rsidRPr="008E1801">
        <w:rPr>
          <w:rFonts w:asciiTheme="minorBidi" w:hAnsiTheme="minorBidi" w:cstheme="minorBidi"/>
          <w:spacing w:val="40"/>
          <w:sz w:val="14"/>
          <w:szCs w:val="14"/>
        </w:rPr>
        <w:t xml:space="preserve"> </w:t>
      </w:r>
      <w:r w:rsidRPr="008E1801">
        <w:rPr>
          <w:rFonts w:asciiTheme="minorBidi" w:hAnsiTheme="minorBidi" w:cstheme="minorBidi"/>
          <w:sz w:val="14"/>
          <w:szCs w:val="14"/>
        </w:rPr>
        <w:t xml:space="preserve">performed using Fisher’s least significant difference (LSD) test at </w:t>
      </w:r>
      <w:r w:rsidRPr="008E1801">
        <w:rPr>
          <w:rFonts w:asciiTheme="minorBidi" w:hAnsiTheme="minorBidi" w:cstheme="minorBidi"/>
          <w:i/>
          <w:sz w:val="14"/>
          <w:szCs w:val="14"/>
        </w:rPr>
        <w:t xml:space="preserve">P </w:t>
      </w:r>
      <w:r w:rsidRPr="008E1801">
        <w:rPr>
          <w:rFonts w:asciiTheme="minorBidi" w:hAnsiTheme="minorBidi" w:cstheme="minorBidi"/>
          <w:sz w:val="14"/>
          <w:szCs w:val="14"/>
        </w:rPr>
        <w:t>≤</w:t>
      </w:r>
      <w:r w:rsidRPr="008E1801">
        <w:rPr>
          <w:rFonts w:asciiTheme="minorBidi" w:hAnsiTheme="minorBidi" w:cstheme="minorBidi"/>
          <w:spacing w:val="40"/>
          <w:sz w:val="14"/>
          <w:szCs w:val="14"/>
        </w:rPr>
        <w:t xml:space="preserve"> </w:t>
      </w:r>
      <w:r w:rsidRPr="008E1801">
        <w:rPr>
          <w:rFonts w:asciiTheme="minorBidi" w:hAnsiTheme="minorBidi" w:cstheme="minorBidi"/>
          <w:spacing w:val="-2"/>
          <w:sz w:val="14"/>
          <w:szCs w:val="14"/>
        </w:rPr>
        <w:t>0.05.</w:t>
      </w:r>
    </w:p>
    <w:p w14:paraId="7567CD70" w14:textId="5823CA73" w:rsidR="005A6EFD" w:rsidRPr="0038122B" w:rsidRDefault="00B67A8E" w:rsidP="009F2023">
      <w:pPr>
        <w:pStyle w:val="Heading2"/>
        <w:spacing w:after="43" w:line="286" w:lineRule="auto"/>
        <w:ind w:left="0"/>
        <w:rPr>
          <w:sz w:val="18"/>
          <w:szCs w:val="18"/>
        </w:rPr>
      </w:pPr>
      <w:r w:rsidRPr="0038122B">
        <w:rPr>
          <w:sz w:val="18"/>
          <w:szCs w:val="18"/>
        </w:rPr>
        <w:t>Vegetative Growth Performance</w:t>
      </w:r>
    </w:p>
    <w:p w14:paraId="23BAA2E3" w14:textId="40260C1B" w:rsidR="005A6EFD" w:rsidRDefault="00B67A8E" w:rsidP="009F2023">
      <w:pPr>
        <w:pStyle w:val="BodyText"/>
        <w:spacing w:after="43" w:line="286" w:lineRule="auto"/>
        <w:ind w:firstLine="284"/>
        <w:jc w:val="both"/>
      </w:pPr>
      <w:r w:rsidRPr="0038122B">
        <w:rPr>
          <w:rFonts w:asciiTheme="minorBidi" w:eastAsiaTheme="minorHAnsi" w:hAnsiTheme="minorBidi" w:cstheme="minorBidi"/>
        </w:rPr>
        <w:t>Plant height varied significantly among the treatments (Table 1). BG + AM treatment resulted in the tallest plants, with a height of 30.8 cm measured from the soil surface. The heights measured for the other treatments were 26.7 cm for bat guano (BG), 25.4 cm for alpaca manure (AM), 24.1 cm for commercial fertilizer (CF), and 21.3 cm for the control group</w:t>
      </w:r>
      <w:r w:rsidR="0038122B">
        <w:rPr>
          <w:rFonts w:asciiTheme="minorBidi" w:eastAsiaTheme="minorHAnsi" w:hAnsiTheme="minorBidi" w:cstheme="minorBidi" w:hint="cs"/>
          <w:rtl/>
        </w:rPr>
        <w:t xml:space="preserve"> </w:t>
      </w:r>
      <w:r>
        <w:t>(C). In addition, plants exposed to organic treatments,</w:t>
      </w:r>
      <w:r>
        <w:rPr>
          <w:spacing w:val="40"/>
        </w:rPr>
        <w:t xml:space="preserve"> </w:t>
      </w:r>
      <w:r>
        <w:t>especially BG + AM, formed higher mass and more fibrous</w:t>
      </w:r>
      <w:r>
        <w:rPr>
          <w:spacing w:val="40"/>
        </w:rPr>
        <w:t xml:space="preserve"> </w:t>
      </w:r>
      <w:r>
        <w:t>roots than those in the control treatment group, indicating a more thorough uptake of nutrients (Figure 1).</w:t>
      </w:r>
    </w:p>
    <w:p w14:paraId="4A07B4A2" w14:textId="77777777" w:rsidR="005A6EFD" w:rsidRDefault="00B67A8E" w:rsidP="009F2023">
      <w:pPr>
        <w:pStyle w:val="BodyText"/>
        <w:spacing w:after="43" w:line="286" w:lineRule="auto"/>
        <w:rPr>
          <w:sz w:val="20"/>
        </w:rPr>
      </w:pPr>
      <w:r>
        <w:rPr>
          <w:noProof/>
          <w:sz w:val="20"/>
        </w:rPr>
        <w:lastRenderedPageBreak/>
        <w:drawing>
          <wp:inline distT="0" distB="0" distL="0" distR="0" wp14:anchorId="36D3CC4C" wp14:editId="1927B1D7">
            <wp:extent cx="2801083" cy="185074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20172" cy="1863357"/>
                    </a:xfrm>
                    <a:prstGeom prst="rect">
                      <a:avLst/>
                    </a:prstGeom>
                  </pic:spPr>
                </pic:pic>
              </a:graphicData>
            </a:graphic>
          </wp:inline>
        </w:drawing>
      </w:r>
    </w:p>
    <w:p w14:paraId="15AD937A" w14:textId="1247E1E4" w:rsidR="005A6EFD" w:rsidRDefault="00B67A8E" w:rsidP="009F2023">
      <w:pPr>
        <w:spacing w:after="43" w:line="286" w:lineRule="auto"/>
        <w:jc w:val="both"/>
        <w:rPr>
          <w:sz w:val="14"/>
        </w:rPr>
      </w:pPr>
      <w:r>
        <w:rPr>
          <w:rFonts w:ascii="Arial"/>
          <w:b/>
          <w:sz w:val="14"/>
        </w:rPr>
        <w:t xml:space="preserve">Figure </w:t>
      </w:r>
      <w:r w:rsidR="008E1801">
        <w:rPr>
          <w:rFonts w:ascii="Arial"/>
          <w:b/>
          <w:sz w:val="14"/>
        </w:rPr>
        <w:t>(</w:t>
      </w:r>
      <w:r>
        <w:rPr>
          <w:rFonts w:ascii="Arial"/>
          <w:b/>
          <w:sz w:val="14"/>
        </w:rPr>
        <w:t>1</w:t>
      </w:r>
      <w:r w:rsidR="008E1801">
        <w:rPr>
          <w:rFonts w:ascii="Arial"/>
          <w:b/>
          <w:sz w:val="14"/>
        </w:rPr>
        <w:t>)</w:t>
      </w:r>
      <w:r>
        <w:rPr>
          <w:rFonts w:ascii="Arial"/>
          <w:b/>
          <w:sz w:val="14"/>
        </w:rPr>
        <w:t xml:space="preserve">: </w:t>
      </w:r>
      <w:r>
        <w:rPr>
          <w:sz w:val="14"/>
        </w:rPr>
        <w:t>Effect of fertilization treatments on vegetative growth of</w:t>
      </w:r>
      <w:r>
        <w:rPr>
          <w:spacing w:val="40"/>
          <w:sz w:val="14"/>
        </w:rPr>
        <w:t xml:space="preserve"> </w:t>
      </w:r>
      <w:r>
        <w:rPr>
          <w:rFonts w:ascii="Arial"/>
          <w:i/>
          <w:sz w:val="14"/>
        </w:rPr>
        <w:t>Mirabilis jalapa</w:t>
      </w:r>
      <w:r>
        <w:rPr>
          <w:sz w:val="14"/>
        </w:rPr>
        <w:t>. Representative plants from the control and bat guano +</w:t>
      </w:r>
      <w:r>
        <w:rPr>
          <w:spacing w:val="40"/>
          <w:sz w:val="14"/>
        </w:rPr>
        <w:t xml:space="preserve"> </w:t>
      </w:r>
      <w:r>
        <w:rPr>
          <w:sz w:val="14"/>
        </w:rPr>
        <w:t>alpaca manure (BG+AM) treatments at 45 days after sowing (DAS).</w:t>
      </w:r>
      <w:r>
        <w:rPr>
          <w:spacing w:val="40"/>
          <w:sz w:val="14"/>
        </w:rPr>
        <w:t xml:space="preserve"> </w:t>
      </w:r>
      <w:r>
        <w:rPr>
          <w:sz w:val="14"/>
        </w:rPr>
        <w:t>Significance levels refer to overall ANOVA treatment effects; mean</w:t>
      </w:r>
      <w:r>
        <w:rPr>
          <w:spacing w:val="40"/>
          <w:sz w:val="14"/>
        </w:rPr>
        <w:t xml:space="preserve"> </w:t>
      </w:r>
      <w:r>
        <w:rPr>
          <w:sz w:val="14"/>
        </w:rPr>
        <w:t>separation was performed using LSD at P = 0.05.</w:t>
      </w:r>
    </w:p>
    <w:p w14:paraId="494C0ECD" w14:textId="77777777" w:rsidR="005A6EFD" w:rsidRPr="0038122B" w:rsidRDefault="00B67A8E" w:rsidP="009F2023">
      <w:pPr>
        <w:pStyle w:val="Heading2"/>
        <w:spacing w:after="43" w:line="286" w:lineRule="auto"/>
        <w:ind w:left="0"/>
        <w:rPr>
          <w:sz w:val="18"/>
          <w:szCs w:val="18"/>
        </w:rPr>
      </w:pPr>
      <w:r w:rsidRPr="0038122B">
        <w:rPr>
          <w:sz w:val="18"/>
          <w:szCs w:val="18"/>
        </w:rPr>
        <w:t>Flower Color Intensity</w:t>
      </w:r>
    </w:p>
    <w:p w14:paraId="05E0A04C"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Differences in anthocyanin content, as measured by optical density (OD530), between treatments were apparent (Fig. 2). The BG+AM flower had the highest pigment content (0.73 OD530), followed in descending order by bat guano (0.62), alpaca manure (0.57), and commercial fertilizer (0.51). The control was lowest (0.45).</w:t>
      </w:r>
    </w:p>
    <w:p w14:paraId="67C3F4F0" w14:textId="01CF8783" w:rsidR="00BC108D" w:rsidRDefault="00BC108D" w:rsidP="009F2023">
      <w:pPr>
        <w:pStyle w:val="BodyText"/>
        <w:spacing w:after="43" w:line="286" w:lineRule="auto"/>
        <w:rPr>
          <w:sz w:val="20"/>
        </w:rPr>
      </w:pPr>
      <w:r>
        <w:rPr>
          <w:noProof/>
          <w:sz w:val="20"/>
        </w:rPr>
        <w:drawing>
          <wp:inline distT="0" distB="0" distL="0" distR="0" wp14:anchorId="48F5EE20" wp14:editId="74371FE5">
            <wp:extent cx="2868930" cy="1720850"/>
            <wp:effectExtent l="0" t="0" r="762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68930" cy="1720850"/>
                    </a:xfrm>
                    <a:prstGeom prst="rect">
                      <a:avLst/>
                    </a:prstGeom>
                  </pic:spPr>
                </pic:pic>
              </a:graphicData>
            </a:graphic>
          </wp:inline>
        </w:drawing>
      </w:r>
    </w:p>
    <w:p w14:paraId="5BBD8162" w14:textId="77777777" w:rsidR="005A6EFD" w:rsidRDefault="00B67A8E" w:rsidP="009F2023">
      <w:pPr>
        <w:spacing w:after="43" w:line="286" w:lineRule="auto"/>
        <w:jc w:val="both"/>
        <w:rPr>
          <w:sz w:val="14"/>
        </w:rPr>
      </w:pPr>
      <w:r>
        <w:rPr>
          <w:rFonts w:ascii="Arial" w:hAnsi="Arial"/>
          <w:b/>
          <w:sz w:val="14"/>
        </w:rPr>
        <w:t xml:space="preserve">Figure 2: </w:t>
      </w:r>
      <w:r>
        <w:rPr>
          <w:sz w:val="14"/>
        </w:rPr>
        <w:t>Effect of fertilization treatments on flower color intensity of</w:t>
      </w:r>
      <w:r>
        <w:rPr>
          <w:spacing w:val="40"/>
          <w:sz w:val="14"/>
        </w:rPr>
        <w:t xml:space="preserve"> </w:t>
      </w:r>
      <w:r>
        <w:rPr>
          <w:rFonts w:ascii="Arial" w:hAnsi="Arial"/>
          <w:i/>
          <w:sz w:val="14"/>
        </w:rPr>
        <w:t>Mirabilis jalapa</w:t>
      </w:r>
      <w:r>
        <w:rPr>
          <w:sz w:val="14"/>
        </w:rPr>
        <w:t>. Anthocyanin content expressed as relative absorbance</w:t>
      </w:r>
      <w:r>
        <w:rPr>
          <w:spacing w:val="40"/>
          <w:sz w:val="14"/>
        </w:rPr>
        <w:t xml:space="preserve"> </w:t>
      </w:r>
      <w:r>
        <w:rPr>
          <w:sz w:val="14"/>
        </w:rPr>
        <w:t>(OD</w:t>
      </w:r>
      <w:r>
        <w:rPr>
          <w:rFonts w:ascii="Cambria Math" w:hAnsi="Cambria Math"/>
          <w:sz w:val="14"/>
        </w:rPr>
        <w:t>₅₃₀</w:t>
      </w:r>
      <w:r>
        <w:rPr>
          <w:sz w:val="14"/>
        </w:rPr>
        <w:t>) per gram of fresh petal tissue. Bars represent mean ± standard</w:t>
      </w:r>
      <w:r>
        <w:rPr>
          <w:spacing w:val="40"/>
          <w:sz w:val="14"/>
        </w:rPr>
        <w:t xml:space="preserve"> </w:t>
      </w:r>
      <w:r>
        <w:rPr>
          <w:sz w:val="14"/>
        </w:rPr>
        <w:t>deviation (</w:t>
      </w:r>
      <w:r>
        <w:rPr>
          <w:rFonts w:ascii="Arial" w:hAnsi="Arial"/>
          <w:i/>
          <w:sz w:val="14"/>
        </w:rPr>
        <w:t xml:space="preserve">n </w:t>
      </w:r>
      <w:r>
        <w:rPr>
          <w:sz w:val="14"/>
        </w:rPr>
        <w:t>= 30). Significance levels refer to overall ANOVA treatment</w:t>
      </w:r>
      <w:r>
        <w:rPr>
          <w:spacing w:val="40"/>
          <w:sz w:val="14"/>
        </w:rPr>
        <w:t xml:space="preserve"> </w:t>
      </w:r>
      <w:r>
        <w:rPr>
          <w:sz w:val="14"/>
        </w:rPr>
        <w:t>effects; mean separation was performed using LSD at P = 0.05.</w:t>
      </w:r>
    </w:p>
    <w:p w14:paraId="3D949014" w14:textId="77777777" w:rsidR="005A6EFD" w:rsidRPr="0038122B" w:rsidRDefault="00B67A8E" w:rsidP="009F2023">
      <w:pPr>
        <w:pStyle w:val="Heading2"/>
        <w:spacing w:after="43" w:line="286" w:lineRule="auto"/>
        <w:ind w:left="0"/>
        <w:rPr>
          <w:sz w:val="18"/>
          <w:szCs w:val="18"/>
        </w:rPr>
      </w:pPr>
      <w:r w:rsidRPr="0038122B">
        <w:rPr>
          <w:sz w:val="18"/>
          <w:szCs w:val="18"/>
        </w:rPr>
        <w:t>Flower Morphology</w:t>
      </w:r>
    </w:p>
    <w:p w14:paraId="07682789" w14:textId="77777777" w:rsidR="005A6EFD" w:rsidRPr="0038122B" w:rsidRDefault="00B67A8E" w:rsidP="009F2023">
      <w:pPr>
        <w:pStyle w:val="BodyText"/>
        <w:spacing w:after="43" w:line="286" w:lineRule="auto"/>
        <w:ind w:firstLine="284"/>
        <w:jc w:val="both"/>
        <w:rPr>
          <w:rFonts w:asciiTheme="minorBidi" w:eastAsiaTheme="minorHAnsi" w:hAnsiTheme="minorBidi" w:cstheme="minorBidi"/>
          <w:rtl/>
        </w:rPr>
      </w:pPr>
      <w:r w:rsidRPr="0038122B">
        <w:rPr>
          <w:rFonts w:asciiTheme="minorBidi" w:eastAsiaTheme="minorHAnsi" w:hAnsiTheme="minorBidi" w:cstheme="minorBidi"/>
        </w:rPr>
        <w:t>Organic treatments resulted in clear improvements in various flower-related characteristics, including flower quantity, size, petal thickness, and fresh weight (Table 2). On average, amending plants with bat guano and alpaca manure on average yielded the best results, with 16.4 flowers per plant, a flower diameter of 4.8 cm, a petal thickness of 0.65 mm, and a fresh flower weight of 3.9 grams. In contrast, the control group consistently had the lowest values for all traits.</w:t>
      </w:r>
    </w:p>
    <w:p w14:paraId="42960FFE" w14:textId="4302A7F5" w:rsidR="005A6EFD" w:rsidRPr="008E1801" w:rsidRDefault="00B67A8E" w:rsidP="009F2023">
      <w:pPr>
        <w:spacing w:after="43" w:line="286" w:lineRule="auto"/>
        <w:rPr>
          <w:rFonts w:asciiTheme="minorBidi" w:hAnsiTheme="minorBidi" w:cstheme="minorBidi"/>
          <w:i/>
          <w:sz w:val="14"/>
          <w:szCs w:val="14"/>
        </w:rPr>
      </w:pPr>
      <w:r w:rsidRPr="008E1801">
        <w:rPr>
          <w:rFonts w:asciiTheme="minorBidi" w:hAnsiTheme="minorBidi" w:cstheme="minorBidi"/>
          <w:b/>
          <w:sz w:val="14"/>
          <w:szCs w:val="14"/>
        </w:rPr>
        <w:t>Table</w:t>
      </w:r>
      <w:r w:rsidRPr="008E1801">
        <w:rPr>
          <w:rFonts w:asciiTheme="minorBidi" w:hAnsiTheme="minorBidi" w:cstheme="minorBidi"/>
          <w:b/>
          <w:spacing w:val="-2"/>
          <w:sz w:val="14"/>
          <w:szCs w:val="14"/>
        </w:rPr>
        <w:t xml:space="preserve"> </w:t>
      </w:r>
      <w:r w:rsidR="008E1801">
        <w:rPr>
          <w:rFonts w:asciiTheme="minorBidi" w:hAnsiTheme="minorBidi" w:cstheme="minorBidi"/>
          <w:b/>
          <w:spacing w:val="-2"/>
          <w:sz w:val="14"/>
          <w:szCs w:val="14"/>
        </w:rPr>
        <w:t>(</w:t>
      </w:r>
      <w:r w:rsidRPr="008E1801">
        <w:rPr>
          <w:rFonts w:asciiTheme="minorBidi" w:hAnsiTheme="minorBidi" w:cstheme="minorBidi"/>
          <w:b/>
          <w:sz w:val="14"/>
          <w:szCs w:val="14"/>
        </w:rPr>
        <w:t>2</w:t>
      </w:r>
      <w:r w:rsidR="008E1801">
        <w:rPr>
          <w:rFonts w:asciiTheme="minorBidi" w:hAnsiTheme="minorBidi" w:cstheme="minorBidi"/>
          <w:b/>
          <w:sz w:val="14"/>
          <w:szCs w:val="14"/>
        </w:rPr>
        <w:t>)</w:t>
      </w:r>
      <w:r w:rsidRPr="008E1801">
        <w:rPr>
          <w:rFonts w:asciiTheme="minorBidi" w:hAnsiTheme="minorBidi" w:cstheme="minorBidi"/>
          <w:b/>
          <w:sz w:val="14"/>
          <w:szCs w:val="14"/>
        </w:rPr>
        <w:t>:</w:t>
      </w:r>
      <w:r w:rsidRPr="008E1801">
        <w:rPr>
          <w:rFonts w:asciiTheme="minorBidi" w:hAnsiTheme="minorBidi" w:cstheme="minorBidi"/>
          <w:b/>
          <w:spacing w:val="-2"/>
          <w:sz w:val="14"/>
          <w:szCs w:val="14"/>
        </w:rPr>
        <w:t xml:space="preserve"> </w:t>
      </w:r>
      <w:r w:rsidRPr="008E1801">
        <w:rPr>
          <w:rFonts w:asciiTheme="minorBidi" w:hAnsiTheme="minorBidi" w:cstheme="minorBidi"/>
          <w:sz w:val="14"/>
          <w:szCs w:val="14"/>
        </w:rPr>
        <w:t>Flower Morphology</w:t>
      </w:r>
      <w:r w:rsidRPr="008E1801">
        <w:rPr>
          <w:rFonts w:asciiTheme="minorBidi" w:hAnsiTheme="minorBidi" w:cstheme="minorBidi"/>
          <w:spacing w:val="-2"/>
          <w:sz w:val="14"/>
          <w:szCs w:val="14"/>
        </w:rPr>
        <w:t xml:space="preserve"> </w:t>
      </w:r>
      <w:r w:rsidRPr="008E1801">
        <w:rPr>
          <w:rFonts w:asciiTheme="minorBidi" w:hAnsiTheme="minorBidi" w:cstheme="minorBidi"/>
          <w:sz w:val="14"/>
          <w:szCs w:val="14"/>
        </w:rPr>
        <w:t>Parameters</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in</w:t>
      </w:r>
      <w:r w:rsidRPr="008E1801">
        <w:rPr>
          <w:rFonts w:asciiTheme="minorBidi" w:hAnsiTheme="minorBidi" w:cstheme="minorBidi"/>
          <w:spacing w:val="1"/>
          <w:sz w:val="14"/>
          <w:szCs w:val="14"/>
        </w:rPr>
        <w:t xml:space="preserve"> </w:t>
      </w:r>
      <w:r w:rsidRPr="008E1801">
        <w:rPr>
          <w:rFonts w:asciiTheme="minorBidi" w:hAnsiTheme="minorBidi" w:cstheme="minorBidi"/>
          <w:i/>
          <w:sz w:val="14"/>
          <w:szCs w:val="14"/>
        </w:rPr>
        <w:t>Mirabilis</w:t>
      </w:r>
      <w:r w:rsidRPr="008E1801">
        <w:rPr>
          <w:rFonts w:asciiTheme="minorBidi" w:hAnsiTheme="minorBidi" w:cstheme="minorBidi"/>
          <w:i/>
          <w:spacing w:val="-4"/>
          <w:sz w:val="14"/>
          <w:szCs w:val="14"/>
        </w:rPr>
        <w:t xml:space="preserve"> </w:t>
      </w:r>
      <w:r w:rsidRPr="008E1801">
        <w:rPr>
          <w:rFonts w:asciiTheme="minorBidi" w:hAnsiTheme="minorBidi" w:cstheme="minorBidi"/>
          <w:i/>
          <w:spacing w:val="-2"/>
          <w:sz w:val="14"/>
          <w:szCs w:val="14"/>
        </w:rPr>
        <w:t>jalapa</w:t>
      </w:r>
      <w:r w:rsidR="008E1801">
        <w:rPr>
          <w:rFonts w:asciiTheme="minorBidi" w:hAnsiTheme="minorBidi" w:cstheme="minorBidi"/>
          <w:i/>
          <w:spacing w:val="-2"/>
          <w:sz w:val="14"/>
          <w:szCs w:val="14"/>
        </w:rPr>
        <w:t>.</w:t>
      </w:r>
    </w:p>
    <w:tbl>
      <w:tblPr>
        <w:tblStyle w:val="TableGrid"/>
        <w:tblW w:w="5321" w:type="pct"/>
        <w:jc w:val="center"/>
        <w:tblInd w:w="0" w:type="dxa"/>
        <w:tblLayout w:type="fixed"/>
        <w:tblLook w:val="01E0" w:firstRow="1" w:lastRow="1" w:firstColumn="1" w:lastColumn="1" w:noHBand="0" w:noVBand="0"/>
      </w:tblPr>
      <w:tblGrid>
        <w:gridCol w:w="1050"/>
        <w:gridCol w:w="1040"/>
        <w:gridCol w:w="892"/>
        <w:gridCol w:w="1040"/>
        <w:gridCol w:w="1016"/>
      </w:tblGrid>
      <w:tr w:rsidR="005A6EFD" w:rsidRPr="008E1801" w14:paraId="62516503" w14:textId="77777777" w:rsidTr="00FF2F8D">
        <w:trPr>
          <w:trHeight w:val="170"/>
          <w:jc w:val="center"/>
        </w:trPr>
        <w:tc>
          <w:tcPr>
            <w:tcW w:w="1001" w:type="dxa"/>
            <w:vAlign w:val="center"/>
          </w:tcPr>
          <w:p w14:paraId="4CB838A3" w14:textId="77777777" w:rsidR="005A6EFD" w:rsidRPr="008E1801" w:rsidRDefault="00B67A8E" w:rsidP="00FF2F8D">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2"/>
                <w:sz w:val="14"/>
                <w:szCs w:val="14"/>
              </w:rPr>
              <w:t>Treatment</w:t>
            </w:r>
          </w:p>
        </w:tc>
        <w:tc>
          <w:tcPr>
            <w:tcW w:w="990" w:type="dxa"/>
            <w:vAlign w:val="center"/>
          </w:tcPr>
          <w:p w14:paraId="08FF8CA7" w14:textId="03983784" w:rsidR="005A6EFD" w:rsidRPr="008E1801" w:rsidRDefault="00B67A8E" w:rsidP="00B277B4">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2"/>
                <w:sz w:val="14"/>
                <w:szCs w:val="14"/>
              </w:rPr>
              <w:t>Flowers</w:t>
            </w:r>
            <w:r w:rsidR="008E1801">
              <w:rPr>
                <w:rFonts w:asciiTheme="minorBidi" w:hAnsiTheme="minorBidi" w:cstheme="minorBidi"/>
                <w:b/>
                <w:spacing w:val="-2"/>
                <w:sz w:val="14"/>
                <w:szCs w:val="14"/>
              </w:rPr>
              <w:t xml:space="preserve"> </w:t>
            </w:r>
            <w:r w:rsidRPr="008E1801">
              <w:rPr>
                <w:rFonts w:asciiTheme="minorBidi" w:hAnsiTheme="minorBidi" w:cstheme="minorBidi"/>
                <w:b/>
                <w:spacing w:val="-2"/>
                <w:sz w:val="14"/>
                <w:szCs w:val="14"/>
              </w:rPr>
              <w:t>/plant</w:t>
            </w:r>
          </w:p>
        </w:tc>
        <w:tc>
          <w:tcPr>
            <w:tcW w:w="849" w:type="dxa"/>
            <w:vAlign w:val="center"/>
          </w:tcPr>
          <w:p w14:paraId="4EC3A8E0" w14:textId="77777777" w:rsidR="005A6EFD" w:rsidRPr="008E1801" w:rsidRDefault="00B67A8E" w:rsidP="00B277B4">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2"/>
                <w:sz w:val="14"/>
                <w:szCs w:val="14"/>
              </w:rPr>
              <w:t>Flower</w:t>
            </w:r>
            <w:r w:rsidRPr="008E1801">
              <w:rPr>
                <w:rFonts w:asciiTheme="minorBidi" w:hAnsiTheme="minorBidi" w:cstheme="minorBidi"/>
                <w:b/>
                <w:spacing w:val="40"/>
                <w:sz w:val="14"/>
                <w:szCs w:val="14"/>
              </w:rPr>
              <w:t xml:space="preserve"> </w:t>
            </w:r>
            <w:r w:rsidRPr="008E1801">
              <w:rPr>
                <w:rFonts w:asciiTheme="minorBidi" w:hAnsiTheme="minorBidi" w:cstheme="minorBidi"/>
                <w:b/>
                <w:spacing w:val="-2"/>
                <w:sz w:val="14"/>
                <w:szCs w:val="14"/>
              </w:rPr>
              <w:t>diameter</w:t>
            </w:r>
            <w:r w:rsidRPr="008E1801">
              <w:rPr>
                <w:rFonts w:asciiTheme="minorBidi" w:hAnsiTheme="minorBidi" w:cstheme="minorBidi"/>
                <w:b/>
                <w:spacing w:val="-8"/>
                <w:sz w:val="14"/>
                <w:szCs w:val="14"/>
              </w:rPr>
              <w:t xml:space="preserve"> </w:t>
            </w:r>
            <w:r w:rsidRPr="008E1801">
              <w:rPr>
                <w:rFonts w:asciiTheme="minorBidi" w:hAnsiTheme="minorBidi" w:cstheme="minorBidi"/>
                <w:b/>
                <w:spacing w:val="-2"/>
                <w:sz w:val="14"/>
                <w:szCs w:val="14"/>
              </w:rPr>
              <w:t>(cm)</w:t>
            </w:r>
          </w:p>
        </w:tc>
        <w:tc>
          <w:tcPr>
            <w:tcW w:w="990" w:type="dxa"/>
            <w:vAlign w:val="center"/>
          </w:tcPr>
          <w:p w14:paraId="43327AC8" w14:textId="77777777" w:rsidR="005A6EFD" w:rsidRPr="008E1801" w:rsidRDefault="00B67A8E" w:rsidP="00B277B4">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2"/>
                <w:sz w:val="14"/>
                <w:szCs w:val="14"/>
              </w:rPr>
              <w:t>Petal</w:t>
            </w:r>
            <w:r w:rsidRPr="008E1801">
              <w:rPr>
                <w:rFonts w:asciiTheme="minorBidi" w:hAnsiTheme="minorBidi" w:cstheme="minorBidi"/>
                <w:b/>
                <w:spacing w:val="40"/>
                <w:sz w:val="14"/>
                <w:szCs w:val="14"/>
              </w:rPr>
              <w:t xml:space="preserve"> </w:t>
            </w:r>
            <w:r w:rsidRPr="008E1801">
              <w:rPr>
                <w:rFonts w:asciiTheme="minorBidi" w:hAnsiTheme="minorBidi" w:cstheme="minorBidi"/>
                <w:b/>
                <w:spacing w:val="-2"/>
                <w:sz w:val="14"/>
                <w:szCs w:val="14"/>
              </w:rPr>
              <w:t>thickness</w:t>
            </w:r>
            <w:r w:rsidRPr="008E1801">
              <w:rPr>
                <w:rFonts w:asciiTheme="minorBidi" w:hAnsiTheme="minorBidi" w:cstheme="minorBidi"/>
                <w:b/>
                <w:spacing w:val="40"/>
                <w:sz w:val="14"/>
                <w:szCs w:val="14"/>
              </w:rPr>
              <w:t xml:space="preserve"> </w:t>
            </w:r>
            <w:r w:rsidRPr="008E1801">
              <w:rPr>
                <w:rFonts w:asciiTheme="minorBidi" w:hAnsiTheme="minorBidi" w:cstheme="minorBidi"/>
                <w:b/>
                <w:spacing w:val="-4"/>
                <w:sz w:val="14"/>
                <w:szCs w:val="14"/>
              </w:rPr>
              <w:t>(mm)</w:t>
            </w:r>
          </w:p>
        </w:tc>
        <w:tc>
          <w:tcPr>
            <w:tcW w:w="967" w:type="dxa"/>
            <w:vAlign w:val="center"/>
          </w:tcPr>
          <w:p w14:paraId="029D2998" w14:textId="77777777" w:rsidR="005A6EFD" w:rsidRPr="008E1801" w:rsidRDefault="00B67A8E" w:rsidP="00B277B4">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2"/>
                <w:sz w:val="14"/>
                <w:szCs w:val="14"/>
              </w:rPr>
              <w:t>Flower</w:t>
            </w:r>
            <w:r w:rsidRPr="008E1801">
              <w:rPr>
                <w:rFonts w:asciiTheme="minorBidi" w:hAnsiTheme="minorBidi" w:cstheme="minorBidi"/>
                <w:b/>
                <w:spacing w:val="40"/>
                <w:sz w:val="14"/>
                <w:szCs w:val="14"/>
              </w:rPr>
              <w:t xml:space="preserve"> </w:t>
            </w:r>
            <w:r w:rsidRPr="008E1801">
              <w:rPr>
                <w:rFonts w:asciiTheme="minorBidi" w:hAnsiTheme="minorBidi" w:cstheme="minorBidi"/>
                <w:b/>
                <w:spacing w:val="-2"/>
                <w:sz w:val="14"/>
                <w:szCs w:val="14"/>
              </w:rPr>
              <w:t>weight</w:t>
            </w:r>
            <w:r w:rsidRPr="008E1801">
              <w:rPr>
                <w:rFonts w:asciiTheme="minorBidi" w:hAnsiTheme="minorBidi" w:cstheme="minorBidi"/>
                <w:b/>
                <w:spacing w:val="-8"/>
                <w:sz w:val="14"/>
                <w:szCs w:val="14"/>
              </w:rPr>
              <w:t xml:space="preserve"> </w:t>
            </w:r>
            <w:r w:rsidRPr="008E1801">
              <w:rPr>
                <w:rFonts w:asciiTheme="minorBidi" w:hAnsiTheme="minorBidi" w:cstheme="minorBidi"/>
                <w:b/>
                <w:spacing w:val="-2"/>
                <w:sz w:val="14"/>
                <w:szCs w:val="14"/>
              </w:rPr>
              <w:t>(g)</w:t>
            </w:r>
          </w:p>
        </w:tc>
      </w:tr>
      <w:tr w:rsidR="005A6EFD" w:rsidRPr="008E1801" w14:paraId="08A671C0" w14:textId="77777777" w:rsidTr="00FF2F8D">
        <w:trPr>
          <w:trHeight w:val="170"/>
          <w:jc w:val="center"/>
        </w:trPr>
        <w:tc>
          <w:tcPr>
            <w:tcW w:w="1001" w:type="dxa"/>
          </w:tcPr>
          <w:p w14:paraId="679D1827" w14:textId="77777777" w:rsidR="005A6EFD" w:rsidRPr="008E1801" w:rsidRDefault="00B67A8E" w:rsidP="00FF2F8D">
            <w:pPr>
              <w:pStyle w:val="TableParagraph"/>
              <w:spacing w:before="0"/>
              <w:ind w:left="0"/>
              <w:jc w:val="left"/>
              <w:rPr>
                <w:rFonts w:asciiTheme="minorBidi" w:hAnsiTheme="minorBidi" w:cstheme="minorBidi"/>
                <w:sz w:val="14"/>
                <w:szCs w:val="14"/>
              </w:rPr>
            </w:pPr>
            <w:r w:rsidRPr="008E1801">
              <w:rPr>
                <w:rFonts w:asciiTheme="minorBidi" w:hAnsiTheme="minorBidi" w:cstheme="minorBidi"/>
                <w:spacing w:val="-2"/>
                <w:sz w:val="14"/>
                <w:szCs w:val="14"/>
              </w:rPr>
              <w:t>Control</w:t>
            </w:r>
          </w:p>
        </w:tc>
        <w:tc>
          <w:tcPr>
            <w:tcW w:w="990" w:type="dxa"/>
          </w:tcPr>
          <w:p w14:paraId="10B48EE0"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9.2</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1.1</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d</w:t>
            </w:r>
          </w:p>
        </w:tc>
        <w:tc>
          <w:tcPr>
            <w:tcW w:w="849" w:type="dxa"/>
          </w:tcPr>
          <w:p w14:paraId="79D9E0C4"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3.1</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0.2</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d</w:t>
            </w:r>
          </w:p>
        </w:tc>
        <w:tc>
          <w:tcPr>
            <w:tcW w:w="990" w:type="dxa"/>
          </w:tcPr>
          <w:p w14:paraId="3690C4A7"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0.42</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0.03</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d</w:t>
            </w:r>
          </w:p>
        </w:tc>
        <w:tc>
          <w:tcPr>
            <w:tcW w:w="967" w:type="dxa"/>
          </w:tcPr>
          <w:p w14:paraId="6AD50179"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2.1</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0.2</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d</w:t>
            </w:r>
          </w:p>
        </w:tc>
      </w:tr>
      <w:tr w:rsidR="005A6EFD" w:rsidRPr="008E1801" w14:paraId="7ECA1378" w14:textId="77777777" w:rsidTr="00FF2F8D">
        <w:trPr>
          <w:trHeight w:val="170"/>
          <w:jc w:val="center"/>
        </w:trPr>
        <w:tc>
          <w:tcPr>
            <w:tcW w:w="1001" w:type="dxa"/>
          </w:tcPr>
          <w:p w14:paraId="746690B6" w14:textId="77777777" w:rsidR="005A6EFD" w:rsidRPr="008E1801" w:rsidRDefault="00B67A8E" w:rsidP="00FF2F8D">
            <w:pPr>
              <w:pStyle w:val="TableParagraph"/>
              <w:spacing w:before="0"/>
              <w:ind w:left="0"/>
              <w:jc w:val="left"/>
              <w:rPr>
                <w:rFonts w:asciiTheme="minorBidi" w:hAnsiTheme="minorBidi" w:cstheme="minorBidi"/>
                <w:sz w:val="14"/>
                <w:szCs w:val="14"/>
              </w:rPr>
            </w:pPr>
            <w:r w:rsidRPr="008E1801">
              <w:rPr>
                <w:rFonts w:asciiTheme="minorBidi" w:hAnsiTheme="minorBidi" w:cstheme="minorBidi"/>
                <w:sz w:val="14"/>
                <w:szCs w:val="14"/>
              </w:rPr>
              <w:t>Bat</w:t>
            </w:r>
            <w:r w:rsidRPr="008E1801">
              <w:rPr>
                <w:rFonts w:asciiTheme="minorBidi" w:hAnsiTheme="minorBidi" w:cstheme="minorBidi"/>
                <w:spacing w:val="-3"/>
                <w:sz w:val="14"/>
                <w:szCs w:val="14"/>
              </w:rPr>
              <w:t xml:space="preserve"> </w:t>
            </w:r>
            <w:r w:rsidRPr="008E1801">
              <w:rPr>
                <w:rFonts w:asciiTheme="minorBidi" w:hAnsiTheme="minorBidi" w:cstheme="minorBidi"/>
                <w:spacing w:val="-2"/>
                <w:sz w:val="14"/>
                <w:szCs w:val="14"/>
              </w:rPr>
              <w:t>Guano</w:t>
            </w:r>
          </w:p>
        </w:tc>
        <w:tc>
          <w:tcPr>
            <w:tcW w:w="990" w:type="dxa"/>
          </w:tcPr>
          <w:p w14:paraId="1DCA9EA4"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13.8</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1.3</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b</w:t>
            </w:r>
          </w:p>
        </w:tc>
        <w:tc>
          <w:tcPr>
            <w:tcW w:w="849" w:type="dxa"/>
          </w:tcPr>
          <w:p w14:paraId="0134AB42"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4.2</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0.3</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b</w:t>
            </w:r>
          </w:p>
        </w:tc>
        <w:tc>
          <w:tcPr>
            <w:tcW w:w="990" w:type="dxa"/>
          </w:tcPr>
          <w:p w14:paraId="5C9AC6DC"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0.58</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0.04</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b</w:t>
            </w:r>
          </w:p>
        </w:tc>
        <w:tc>
          <w:tcPr>
            <w:tcW w:w="967" w:type="dxa"/>
          </w:tcPr>
          <w:p w14:paraId="38CBD57E"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3.4</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0.3</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b</w:t>
            </w:r>
          </w:p>
        </w:tc>
      </w:tr>
      <w:tr w:rsidR="005A6EFD" w:rsidRPr="008E1801" w14:paraId="7309A483" w14:textId="77777777" w:rsidTr="00FF2F8D">
        <w:trPr>
          <w:trHeight w:val="170"/>
          <w:jc w:val="center"/>
        </w:trPr>
        <w:tc>
          <w:tcPr>
            <w:tcW w:w="1001" w:type="dxa"/>
          </w:tcPr>
          <w:p w14:paraId="2959D47D" w14:textId="77777777" w:rsidR="005A6EFD" w:rsidRPr="008E1801" w:rsidRDefault="00B67A8E" w:rsidP="00FF2F8D">
            <w:pPr>
              <w:pStyle w:val="TableParagraph"/>
              <w:spacing w:before="0"/>
              <w:ind w:left="0"/>
              <w:jc w:val="left"/>
              <w:rPr>
                <w:rFonts w:asciiTheme="minorBidi" w:hAnsiTheme="minorBidi" w:cstheme="minorBidi"/>
                <w:sz w:val="14"/>
                <w:szCs w:val="14"/>
              </w:rPr>
            </w:pPr>
            <w:r w:rsidRPr="008E1801">
              <w:rPr>
                <w:rFonts w:asciiTheme="minorBidi" w:hAnsiTheme="minorBidi" w:cstheme="minorBidi"/>
                <w:sz w:val="14"/>
                <w:szCs w:val="14"/>
              </w:rPr>
              <w:t>Alpaca</w:t>
            </w:r>
            <w:r w:rsidRPr="008E1801">
              <w:rPr>
                <w:rFonts w:asciiTheme="minorBidi" w:hAnsiTheme="minorBidi" w:cstheme="minorBidi"/>
                <w:spacing w:val="-7"/>
                <w:sz w:val="14"/>
                <w:szCs w:val="14"/>
              </w:rPr>
              <w:t xml:space="preserve"> </w:t>
            </w:r>
            <w:r w:rsidRPr="008E1801">
              <w:rPr>
                <w:rFonts w:asciiTheme="minorBidi" w:hAnsiTheme="minorBidi" w:cstheme="minorBidi"/>
                <w:spacing w:val="-2"/>
                <w:sz w:val="14"/>
                <w:szCs w:val="14"/>
              </w:rPr>
              <w:t>Manure</w:t>
            </w:r>
          </w:p>
        </w:tc>
        <w:tc>
          <w:tcPr>
            <w:tcW w:w="990" w:type="dxa"/>
          </w:tcPr>
          <w:p w14:paraId="7639767B"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12.7</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1.2</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c</w:t>
            </w:r>
          </w:p>
        </w:tc>
        <w:tc>
          <w:tcPr>
            <w:tcW w:w="849" w:type="dxa"/>
          </w:tcPr>
          <w:p w14:paraId="158339EF"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3.9</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0.2</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c</w:t>
            </w:r>
          </w:p>
        </w:tc>
        <w:tc>
          <w:tcPr>
            <w:tcW w:w="990" w:type="dxa"/>
          </w:tcPr>
          <w:p w14:paraId="66523301"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0.54</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0.03</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c</w:t>
            </w:r>
          </w:p>
        </w:tc>
        <w:tc>
          <w:tcPr>
            <w:tcW w:w="967" w:type="dxa"/>
          </w:tcPr>
          <w:p w14:paraId="7A7B9B81"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3.0</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0.3</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c</w:t>
            </w:r>
          </w:p>
        </w:tc>
      </w:tr>
      <w:tr w:rsidR="005A6EFD" w:rsidRPr="008E1801" w14:paraId="376A791C" w14:textId="77777777" w:rsidTr="00FF2F8D">
        <w:trPr>
          <w:trHeight w:val="170"/>
          <w:jc w:val="center"/>
        </w:trPr>
        <w:tc>
          <w:tcPr>
            <w:tcW w:w="1001" w:type="dxa"/>
          </w:tcPr>
          <w:p w14:paraId="53F93125" w14:textId="77777777" w:rsidR="005A6EFD" w:rsidRPr="008E1801" w:rsidRDefault="00B67A8E" w:rsidP="00FF2F8D">
            <w:pPr>
              <w:pStyle w:val="TableParagraph"/>
              <w:spacing w:before="0"/>
              <w:ind w:left="0"/>
              <w:jc w:val="left"/>
              <w:rPr>
                <w:rFonts w:asciiTheme="minorBidi" w:hAnsiTheme="minorBidi" w:cstheme="minorBidi"/>
                <w:sz w:val="14"/>
                <w:szCs w:val="14"/>
              </w:rPr>
            </w:pPr>
            <w:r w:rsidRPr="008E1801">
              <w:rPr>
                <w:rFonts w:asciiTheme="minorBidi" w:hAnsiTheme="minorBidi" w:cstheme="minorBidi"/>
                <w:sz w:val="14"/>
                <w:szCs w:val="14"/>
              </w:rPr>
              <w:t>Combo</w:t>
            </w:r>
            <w:r w:rsidRPr="008E1801">
              <w:rPr>
                <w:rFonts w:asciiTheme="minorBidi" w:hAnsiTheme="minorBidi" w:cstheme="minorBidi"/>
                <w:spacing w:val="-6"/>
                <w:sz w:val="14"/>
                <w:szCs w:val="14"/>
              </w:rPr>
              <w:t xml:space="preserve"> </w:t>
            </w:r>
            <w:r w:rsidRPr="008E1801">
              <w:rPr>
                <w:rFonts w:asciiTheme="minorBidi" w:hAnsiTheme="minorBidi" w:cstheme="minorBidi"/>
                <w:spacing w:val="-2"/>
                <w:sz w:val="14"/>
                <w:szCs w:val="14"/>
              </w:rPr>
              <w:t>(BG+AM)</w:t>
            </w:r>
          </w:p>
        </w:tc>
        <w:tc>
          <w:tcPr>
            <w:tcW w:w="990" w:type="dxa"/>
          </w:tcPr>
          <w:p w14:paraId="19DF4684"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16.4</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1.5</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a</w:t>
            </w:r>
          </w:p>
        </w:tc>
        <w:tc>
          <w:tcPr>
            <w:tcW w:w="849" w:type="dxa"/>
          </w:tcPr>
          <w:p w14:paraId="25A0E2E9"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4.8</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0.3</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a</w:t>
            </w:r>
          </w:p>
        </w:tc>
        <w:tc>
          <w:tcPr>
            <w:tcW w:w="990" w:type="dxa"/>
          </w:tcPr>
          <w:p w14:paraId="282DDDE3"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0.65</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0.04</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a</w:t>
            </w:r>
          </w:p>
        </w:tc>
        <w:tc>
          <w:tcPr>
            <w:tcW w:w="967" w:type="dxa"/>
          </w:tcPr>
          <w:p w14:paraId="02A60DC2"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3.9</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0.4</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a</w:t>
            </w:r>
          </w:p>
        </w:tc>
      </w:tr>
      <w:tr w:rsidR="005A6EFD" w:rsidRPr="008E1801" w14:paraId="73B3684E" w14:textId="77777777" w:rsidTr="00FF2F8D">
        <w:trPr>
          <w:trHeight w:val="170"/>
          <w:jc w:val="center"/>
        </w:trPr>
        <w:tc>
          <w:tcPr>
            <w:tcW w:w="1001" w:type="dxa"/>
          </w:tcPr>
          <w:p w14:paraId="0AB4F268" w14:textId="77777777" w:rsidR="005A6EFD" w:rsidRPr="008E1801" w:rsidRDefault="00B67A8E" w:rsidP="00FF2F8D">
            <w:pPr>
              <w:pStyle w:val="TableParagraph"/>
              <w:spacing w:before="0"/>
              <w:ind w:left="0"/>
              <w:jc w:val="left"/>
              <w:rPr>
                <w:rFonts w:asciiTheme="minorBidi" w:hAnsiTheme="minorBidi" w:cstheme="minorBidi"/>
                <w:sz w:val="14"/>
                <w:szCs w:val="14"/>
              </w:rPr>
            </w:pPr>
            <w:r w:rsidRPr="008E1801">
              <w:rPr>
                <w:rFonts w:asciiTheme="minorBidi" w:hAnsiTheme="minorBidi" w:cstheme="minorBidi"/>
                <w:spacing w:val="-2"/>
                <w:sz w:val="14"/>
                <w:szCs w:val="14"/>
              </w:rPr>
              <w:t>Commercial</w:t>
            </w:r>
            <w:r w:rsidRPr="008E1801">
              <w:rPr>
                <w:rFonts w:asciiTheme="minorBidi" w:hAnsiTheme="minorBidi" w:cstheme="minorBidi"/>
                <w:spacing w:val="40"/>
                <w:sz w:val="14"/>
                <w:szCs w:val="14"/>
              </w:rPr>
              <w:t xml:space="preserve"> </w:t>
            </w:r>
            <w:r w:rsidRPr="008E1801">
              <w:rPr>
                <w:rFonts w:asciiTheme="minorBidi" w:hAnsiTheme="minorBidi" w:cstheme="minorBidi"/>
                <w:spacing w:val="-2"/>
                <w:sz w:val="14"/>
                <w:szCs w:val="14"/>
              </w:rPr>
              <w:t>Fertilizer</w:t>
            </w:r>
          </w:p>
        </w:tc>
        <w:tc>
          <w:tcPr>
            <w:tcW w:w="990" w:type="dxa"/>
          </w:tcPr>
          <w:p w14:paraId="5AC431FB"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11.5</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1.1</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c</w:t>
            </w:r>
          </w:p>
        </w:tc>
        <w:tc>
          <w:tcPr>
            <w:tcW w:w="849" w:type="dxa"/>
          </w:tcPr>
          <w:p w14:paraId="33BE5ED9"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3.6</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0.2</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c</w:t>
            </w:r>
          </w:p>
        </w:tc>
        <w:tc>
          <w:tcPr>
            <w:tcW w:w="990" w:type="dxa"/>
          </w:tcPr>
          <w:p w14:paraId="29497D8E"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0.50</w:t>
            </w:r>
            <w:r w:rsidRPr="008E1801">
              <w:rPr>
                <w:rFonts w:asciiTheme="minorBidi" w:hAnsiTheme="minorBidi" w:cstheme="minorBidi"/>
                <w:spacing w:val="-4"/>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7"/>
                <w:sz w:val="14"/>
                <w:szCs w:val="14"/>
              </w:rPr>
              <w:t xml:space="preserve"> </w:t>
            </w:r>
            <w:r w:rsidRPr="008E1801">
              <w:rPr>
                <w:rFonts w:asciiTheme="minorBidi" w:hAnsiTheme="minorBidi" w:cstheme="minorBidi"/>
                <w:sz w:val="14"/>
                <w:szCs w:val="14"/>
              </w:rPr>
              <w:t>0.03</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c</w:t>
            </w:r>
          </w:p>
        </w:tc>
        <w:tc>
          <w:tcPr>
            <w:tcW w:w="967" w:type="dxa"/>
          </w:tcPr>
          <w:p w14:paraId="03627872" w14:textId="77777777" w:rsidR="005A6EFD" w:rsidRPr="008E1801" w:rsidRDefault="00B67A8E" w:rsidP="00B277B4">
            <w:pPr>
              <w:pStyle w:val="TableParagraph"/>
              <w:spacing w:before="0"/>
              <w:ind w:left="0"/>
              <w:rPr>
                <w:rFonts w:asciiTheme="minorBidi" w:hAnsiTheme="minorBidi" w:cstheme="minorBidi"/>
                <w:sz w:val="14"/>
                <w:szCs w:val="14"/>
              </w:rPr>
            </w:pPr>
            <w:r w:rsidRPr="008E1801">
              <w:rPr>
                <w:rFonts w:asciiTheme="minorBidi" w:hAnsiTheme="minorBidi" w:cstheme="minorBidi"/>
                <w:sz w:val="14"/>
                <w:szCs w:val="14"/>
              </w:rPr>
              <w:t>2.7</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6"/>
                <w:sz w:val="14"/>
                <w:szCs w:val="14"/>
              </w:rPr>
              <w:t xml:space="preserve"> </w:t>
            </w:r>
            <w:r w:rsidRPr="008E1801">
              <w:rPr>
                <w:rFonts w:asciiTheme="minorBidi" w:hAnsiTheme="minorBidi" w:cstheme="minorBidi"/>
                <w:sz w:val="14"/>
                <w:szCs w:val="14"/>
              </w:rPr>
              <w:t>0.2</w:t>
            </w:r>
            <w:r w:rsidRPr="008E1801">
              <w:rPr>
                <w:rFonts w:asciiTheme="minorBidi" w:hAnsiTheme="minorBidi" w:cstheme="minorBidi"/>
                <w:spacing w:val="-2"/>
                <w:sz w:val="14"/>
                <w:szCs w:val="14"/>
              </w:rPr>
              <w:t xml:space="preserve"> </w:t>
            </w:r>
            <w:r w:rsidRPr="008E1801">
              <w:rPr>
                <w:rFonts w:asciiTheme="minorBidi" w:hAnsiTheme="minorBidi" w:cstheme="minorBidi"/>
                <w:spacing w:val="-10"/>
                <w:sz w:val="14"/>
                <w:szCs w:val="14"/>
                <w:vertAlign w:val="superscript"/>
              </w:rPr>
              <w:t>c</w:t>
            </w:r>
          </w:p>
        </w:tc>
      </w:tr>
      <w:tr w:rsidR="005A6EFD" w:rsidRPr="008E1801" w14:paraId="5D2BE52C" w14:textId="77777777" w:rsidTr="00FF2F8D">
        <w:trPr>
          <w:trHeight w:val="170"/>
          <w:jc w:val="center"/>
        </w:trPr>
        <w:tc>
          <w:tcPr>
            <w:tcW w:w="1001" w:type="dxa"/>
          </w:tcPr>
          <w:p w14:paraId="44B56FB2" w14:textId="77777777" w:rsidR="005A6EFD" w:rsidRPr="008E1801" w:rsidRDefault="00B67A8E" w:rsidP="00FF2F8D">
            <w:pPr>
              <w:pStyle w:val="TableParagraph"/>
              <w:spacing w:before="0"/>
              <w:ind w:left="0"/>
              <w:jc w:val="left"/>
              <w:rPr>
                <w:rFonts w:asciiTheme="minorBidi" w:hAnsiTheme="minorBidi" w:cstheme="minorBidi"/>
                <w:b/>
                <w:sz w:val="14"/>
                <w:szCs w:val="14"/>
              </w:rPr>
            </w:pPr>
            <w:r w:rsidRPr="008E1801">
              <w:rPr>
                <w:rFonts w:asciiTheme="minorBidi" w:hAnsiTheme="minorBidi" w:cstheme="minorBidi"/>
                <w:b/>
                <w:spacing w:val="-2"/>
                <w:sz w:val="14"/>
                <w:szCs w:val="14"/>
              </w:rPr>
              <w:t>ANOVA</w:t>
            </w:r>
          </w:p>
        </w:tc>
        <w:tc>
          <w:tcPr>
            <w:tcW w:w="990" w:type="dxa"/>
          </w:tcPr>
          <w:p w14:paraId="7F8AE723" w14:textId="77777777" w:rsidR="005A6EFD" w:rsidRPr="008E1801" w:rsidRDefault="00B67A8E" w:rsidP="00B277B4">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5"/>
                <w:sz w:val="14"/>
                <w:szCs w:val="14"/>
              </w:rPr>
              <w:t>***</w:t>
            </w:r>
          </w:p>
        </w:tc>
        <w:tc>
          <w:tcPr>
            <w:tcW w:w="849" w:type="dxa"/>
          </w:tcPr>
          <w:p w14:paraId="0ED22400" w14:textId="77777777" w:rsidR="005A6EFD" w:rsidRPr="008E1801" w:rsidRDefault="00B67A8E" w:rsidP="00B277B4">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5"/>
                <w:sz w:val="14"/>
                <w:szCs w:val="14"/>
              </w:rPr>
              <w:t>***</w:t>
            </w:r>
          </w:p>
        </w:tc>
        <w:tc>
          <w:tcPr>
            <w:tcW w:w="990" w:type="dxa"/>
          </w:tcPr>
          <w:p w14:paraId="2EBBD843" w14:textId="77777777" w:rsidR="005A6EFD" w:rsidRPr="008E1801" w:rsidRDefault="00B67A8E" w:rsidP="00B277B4">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5"/>
                <w:sz w:val="14"/>
                <w:szCs w:val="14"/>
              </w:rPr>
              <w:t>***</w:t>
            </w:r>
          </w:p>
        </w:tc>
        <w:tc>
          <w:tcPr>
            <w:tcW w:w="967" w:type="dxa"/>
          </w:tcPr>
          <w:p w14:paraId="77644805" w14:textId="77777777" w:rsidR="005A6EFD" w:rsidRPr="008E1801" w:rsidRDefault="00B67A8E" w:rsidP="00B277B4">
            <w:pPr>
              <w:pStyle w:val="TableParagraph"/>
              <w:spacing w:before="0"/>
              <w:ind w:left="0"/>
              <w:rPr>
                <w:rFonts w:asciiTheme="minorBidi" w:hAnsiTheme="minorBidi" w:cstheme="minorBidi"/>
                <w:b/>
                <w:sz w:val="14"/>
                <w:szCs w:val="14"/>
              </w:rPr>
            </w:pPr>
            <w:r w:rsidRPr="008E1801">
              <w:rPr>
                <w:rFonts w:asciiTheme="minorBidi" w:hAnsiTheme="minorBidi" w:cstheme="minorBidi"/>
                <w:b/>
                <w:spacing w:val="-5"/>
                <w:sz w:val="14"/>
                <w:szCs w:val="14"/>
              </w:rPr>
              <w:t>***</w:t>
            </w:r>
          </w:p>
        </w:tc>
      </w:tr>
    </w:tbl>
    <w:p w14:paraId="3DE391D3" w14:textId="77777777" w:rsidR="005A6EFD" w:rsidRPr="008E1801" w:rsidRDefault="00B67A8E" w:rsidP="008D3668">
      <w:pPr>
        <w:spacing w:after="60" w:line="288" w:lineRule="auto"/>
        <w:jc w:val="both"/>
        <w:rPr>
          <w:rFonts w:asciiTheme="minorBidi" w:hAnsiTheme="minorBidi" w:cstheme="minorBidi"/>
          <w:sz w:val="14"/>
          <w:szCs w:val="14"/>
        </w:rPr>
      </w:pPr>
      <w:r w:rsidRPr="008E1801">
        <w:rPr>
          <w:rFonts w:asciiTheme="minorBidi" w:hAnsiTheme="minorBidi" w:cstheme="minorBidi"/>
          <w:sz w:val="14"/>
          <w:szCs w:val="14"/>
        </w:rPr>
        <w:t>Values represent mean</w:t>
      </w:r>
      <w:r w:rsidRPr="008E1801">
        <w:rPr>
          <w:rFonts w:asciiTheme="minorBidi" w:hAnsiTheme="minorBidi" w:cstheme="minorBidi"/>
          <w:spacing w:val="-1"/>
          <w:sz w:val="14"/>
          <w:szCs w:val="14"/>
        </w:rPr>
        <w:t xml:space="preserve"> </w:t>
      </w:r>
      <w:r w:rsidRPr="008E1801">
        <w:rPr>
          <w:rFonts w:asciiTheme="minorBidi" w:hAnsiTheme="minorBidi" w:cstheme="minorBidi"/>
          <w:sz w:val="14"/>
          <w:szCs w:val="14"/>
        </w:rPr>
        <w:t>±</w:t>
      </w:r>
      <w:r w:rsidRPr="008E1801">
        <w:rPr>
          <w:rFonts w:asciiTheme="minorBidi" w:hAnsiTheme="minorBidi" w:cstheme="minorBidi"/>
          <w:spacing w:val="-1"/>
          <w:sz w:val="14"/>
          <w:szCs w:val="14"/>
        </w:rPr>
        <w:t xml:space="preserve"> </w:t>
      </w:r>
      <w:r w:rsidRPr="008E1801">
        <w:rPr>
          <w:rFonts w:asciiTheme="minorBidi" w:hAnsiTheme="minorBidi" w:cstheme="minorBidi"/>
          <w:sz w:val="14"/>
          <w:szCs w:val="14"/>
        </w:rPr>
        <w:t>standard deviation. Significance</w:t>
      </w:r>
      <w:r w:rsidRPr="008E1801">
        <w:rPr>
          <w:rFonts w:asciiTheme="minorBidi" w:hAnsiTheme="minorBidi" w:cstheme="minorBidi"/>
          <w:spacing w:val="-1"/>
          <w:sz w:val="14"/>
          <w:szCs w:val="14"/>
        </w:rPr>
        <w:t xml:space="preserve"> </w:t>
      </w:r>
      <w:r w:rsidRPr="008E1801">
        <w:rPr>
          <w:rFonts w:asciiTheme="minorBidi" w:hAnsiTheme="minorBidi" w:cstheme="minorBidi"/>
          <w:sz w:val="14"/>
          <w:szCs w:val="14"/>
        </w:rPr>
        <w:t>levels refer to</w:t>
      </w:r>
      <w:r w:rsidRPr="008E1801">
        <w:rPr>
          <w:rFonts w:asciiTheme="minorBidi" w:hAnsiTheme="minorBidi" w:cstheme="minorBidi"/>
          <w:spacing w:val="40"/>
          <w:sz w:val="14"/>
          <w:szCs w:val="14"/>
        </w:rPr>
        <w:t xml:space="preserve"> </w:t>
      </w:r>
      <w:r w:rsidRPr="008E1801">
        <w:rPr>
          <w:rFonts w:asciiTheme="minorBidi" w:hAnsiTheme="minorBidi" w:cstheme="minorBidi"/>
          <w:sz w:val="14"/>
          <w:szCs w:val="14"/>
        </w:rPr>
        <w:t>overall</w:t>
      </w:r>
      <w:r w:rsidRPr="008E1801">
        <w:rPr>
          <w:rFonts w:asciiTheme="minorBidi" w:hAnsiTheme="minorBidi" w:cstheme="minorBidi"/>
          <w:spacing w:val="-3"/>
          <w:sz w:val="14"/>
          <w:szCs w:val="14"/>
        </w:rPr>
        <w:t xml:space="preserve"> </w:t>
      </w:r>
      <w:r w:rsidRPr="008E1801">
        <w:rPr>
          <w:rFonts w:asciiTheme="minorBidi" w:hAnsiTheme="minorBidi" w:cstheme="minorBidi"/>
          <w:sz w:val="14"/>
          <w:szCs w:val="14"/>
        </w:rPr>
        <w:t>ANOVA</w:t>
      </w:r>
      <w:r w:rsidRPr="008E1801">
        <w:rPr>
          <w:rFonts w:asciiTheme="minorBidi" w:hAnsiTheme="minorBidi" w:cstheme="minorBidi"/>
          <w:spacing w:val="-1"/>
          <w:sz w:val="14"/>
          <w:szCs w:val="14"/>
        </w:rPr>
        <w:t xml:space="preserve"> </w:t>
      </w:r>
      <w:r w:rsidRPr="008E1801">
        <w:rPr>
          <w:rFonts w:asciiTheme="minorBidi" w:hAnsiTheme="minorBidi" w:cstheme="minorBidi"/>
          <w:sz w:val="14"/>
          <w:szCs w:val="14"/>
        </w:rPr>
        <w:t>treatment effects; mean</w:t>
      </w:r>
      <w:r w:rsidRPr="008E1801">
        <w:rPr>
          <w:rFonts w:asciiTheme="minorBidi" w:hAnsiTheme="minorBidi" w:cstheme="minorBidi"/>
          <w:spacing w:val="-2"/>
          <w:sz w:val="14"/>
          <w:szCs w:val="14"/>
        </w:rPr>
        <w:t xml:space="preserve"> </w:t>
      </w:r>
      <w:r w:rsidRPr="008E1801">
        <w:rPr>
          <w:rFonts w:asciiTheme="minorBidi" w:hAnsiTheme="minorBidi" w:cstheme="minorBidi"/>
          <w:sz w:val="14"/>
          <w:szCs w:val="14"/>
        </w:rPr>
        <w:t>separation</w:t>
      </w:r>
      <w:r w:rsidRPr="008E1801">
        <w:rPr>
          <w:rFonts w:asciiTheme="minorBidi" w:hAnsiTheme="minorBidi" w:cstheme="minorBidi"/>
          <w:spacing w:val="-2"/>
          <w:sz w:val="14"/>
          <w:szCs w:val="14"/>
        </w:rPr>
        <w:t xml:space="preserve"> </w:t>
      </w:r>
      <w:r w:rsidRPr="008E1801">
        <w:rPr>
          <w:rFonts w:asciiTheme="minorBidi" w:hAnsiTheme="minorBidi" w:cstheme="minorBidi"/>
          <w:sz w:val="14"/>
          <w:szCs w:val="14"/>
        </w:rPr>
        <w:t>was performed</w:t>
      </w:r>
      <w:r w:rsidRPr="008E1801">
        <w:rPr>
          <w:rFonts w:asciiTheme="minorBidi" w:hAnsiTheme="minorBidi" w:cstheme="minorBidi"/>
          <w:spacing w:val="-2"/>
          <w:sz w:val="14"/>
          <w:szCs w:val="14"/>
        </w:rPr>
        <w:t xml:space="preserve"> </w:t>
      </w:r>
      <w:r w:rsidRPr="008E1801">
        <w:rPr>
          <w:rFonts w:asciiTheme="minorBidi" w:hAnsiTheme="minorBidi" w:cstheme="minorBidi"/>
          <w:sz w:val="14"/>
          <w:szCs w:val="14"/>
        </w:rPr>
        <w:t>using</w:t>
      </w:r>
      <w:r w:rsidRPr="008E1801">
        <w:rPr>
          <w:rFonts w:asciiTheme="minorBidi" w:hAnsiTheme="minorBidi" w:cstheme="minorBidi"/>
          <w:spacing w:val="40"/>
          <w:sz w:val="14"/>
          <w:szCs w:val="14"/>
        </w:rPr>
        <w:t xml:space="preserve"> </w:t>
      </w:r>
      <w:r w:rsidRPr="008E1801">
        <w:rPr>
          <w:rFonts w:asciiTheme="minorBidi" w:hAnsiTheme="minorBidi" w:cstheme="minorBidi"/>
          <w:sz w:val="14"/>
          <w:szCs w:val="14"/>
        </w:rPr>
        <w:t>LSD at P = 0.05.</w:t>
      </w:r>
    </w:p>
    <w:p w14:paraId="1D3E568F" w14:textId="77777777" w:rsidR="005A6EFD" w:rsidRPr="0038122B" w:rsidRDefault="00B67A8E" w:rsidP="0038122B">
      <w:pPr>
        <w:pStyle w:val="Heading2"/>
        <w:spacing w:after="60" w:line="288" w:lineRule="auto"/>
        <w:ind w:left="0"/>
        <w:rPr>
          <w:sz w:val="18"/>
          <w:szCs w:val="18"/>
        </w:rPr>
      </w:pPr>
      <w:r w:rsidRPr="0038122B">
        <w:rPr>
          <w:sz w:val="18"/>
          <w:szCs w:val="18"/>
        </w:rPr>
        <w:t>Abiotic Stress Tolerance</w:t>
      </w:r>
    </w:p>
    <w:p w14:paraId="3164D5E5" w14:textId="641756C0" w:rsidR="005A6EFD" w:rsidRDefault="00B67A8E" w:rsidP="0038122B">
      <w:pPr>
        <w:pStyle w:val="BodyText"/>
        <w:spacing w:after="60" w:line="288" w:lineRule="auto"/>
        <w:ind w:firstLine="284"/>
        <w:jc w:val="both"/>
      </w:pPr>
      <w:r w:rsidRPr="0038122B">
        <w:rPr>
          <w:rFonts w:asciiTheme="minorBidi" w:eastAsiaTheme="minorHAnsi" w:hAnsiTheme="minorBidi" w:cstheme="minorBidi"/>
        </w:rPr>
        <w:lastRenderedPageBreak/>
        <w:t>The group receiving bat guano + alpaca manure (BG + AM), measured the highest relative water content (RWC) of the evaluated treatments (84%), bat guano (76%), alpaca manure (74%), commercial fertilizer (69%), and control (62%) (Figure 3). These findings indicate that the plants treated with the organic treatments were able to hold more water, providing them with greater resilience in the face of stress. Chlorophyll stability index (CSI) did significantly depend on treatment (Figure 4). The CSI was highest in the BG + AM treatment (0.91), followed by bat guano (0.82), alpaca manure (0.79),</w:t>
      </w:r>
      <w:r w:rsidR="0038122B">
        <w:rPr>
          <w:rFonts w:asciiTheme="minorBidi" w:eastAsiaTheme="minorHAnsi" w:hAnsiTheme="minorBidi" w:cstheme="minorBidi" w:hint="cs"/>
          <w:rtl/>
        </w:rPr>
        <w:t xml:space="preserve"> </w:t>
      </w:r>
      <w:r>
        <w:t>commercial</w:t>
      </w:r>
      <w:r>
        <w:rPr>
          <w:spacing w:val="-5"/>
        </w:rPr>
        <w:t xml:space="preserve"> </w:t>
      </w:r>
      <w:r>
        <w:t>fertilizer</w:t>
      </w:r>
      <w:r>
        <w:rPr>
          <w:spacing w:val="-6"/>
        </w:rPr>
        <w:t xml:space="preserve"> </w:t>
      </w:r>
      <w:r>
        <w:t>(0.74),</w:t>
      </w:r>
      <w:r>
        <w:rPr>
          <w:spacing w:val="-2"/>
        </w:rPr>
        <w:t xml:space="preserve"> </w:t>
      </w:r>
      <w:r>
        <w:t>and</w:t>
      </w:r>
      <w:r>
        <w:rPr>
          <w:spacing w:val="-5"/>
        </w:rPr>
        <w:t xml:space="preserve"> </w:t>
      </w:r>
      <w:r>
        <w:t>control</w:t>
      </w:r>
      <w:r>
        <w:rPr>
          <w:spacing w:val="-4"/>
        </w:rPr>
        <w:t xml:space="preserve"> </w:t>
      </w:r>
      <w:r>
        <w:rPr>
          <w:spacing w:val="-2"/>
        </w:rPr>
        <w:t>(0.68).</w:t>
      </w:r>
    </w:p>
    <w:p w14:paraId="05762936" w14:textId="5C0795ED" w:rsidR="00BC108D" w:rsidRPr="00BC108D" w:rsidRDefault="00BC108D" w:rsidP="008D3668">
      <w:pPr>
        <w:pStyle w:val="BodyText"/>
        <w:spacing w:after="60" w:line="288" w:lineRule="auto"/>
        <w:rPr>
          <w:noProof/>
          <w:sz w:val="20"/>
          <w:lang w:val="it-IT" w:eastAsia="it-IT"/>
        </w:rPr>
      </w:pPr>
      <w:r>
        <w:rPr>
          <w:noProof/>
          <w:sz w:val="20"/>
        </w:rPr>
        <w:drawing>
          <wp:inline distT="0" distB="0" distL="0" distR="0" wp14:anchorId="6706BE5D" wp14:editId="3C9FDDAA">
            <wp:extent cx="2868930" cy="1684020"/>
            <wp:effectExtent l="0" t="0" r="762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68930" cy="1684020"/>
                    </a:xfrm>
                    <a:prstGeom prst="rect">
                      <a:avLst/>
                    </a:prstGeom>
                  </pic:spPr>
                </pic:pic>
              </a:graphicData>
            </a:graphic>
          </wp:inline>
        </w:drawing>
      </w:r>
    </w:p>
    <w:p w14:paraId="1D0802B9" w14:textId="512412D3" w:rsidR="005A6EFD" w:rsidRDefault="00B67A8E" w:rsidP="008D3668">
      <w:pPr>
        <w:spacing w:after="60" w:line="288" w:lineRule="auto"/>
        <w:jc w:val="both"/>
        <w:rPr>
          <w:rFonts w:ascii="Arial" w:hAnsi="Arial"/>
          <w:i/>
          <w:sz w:val="14"/>
        </w:rPr>
      </w:pPr>
      <w:r>
        <w:rPr>
          <w:rFonts w:ascii="Arial" w:hAnsi="Arial"/>
          <w:b/>
          <w:sz w:val="14"/>
        </w:rPr>
        <w:t>Figure 3:</w:t>
      </w:r>
      <w:r>
        <w:rPr>
          <w:rFonts w:ascii="Arial" w:hAnsi="Arial"/>
          <w:b/>
          <w:spacing w:val="-1"/>
          <w:sz w:val="14"/>
        </w:rPr>
        <w:t xml:space="preserve"> </w:t>
      </w:r>
      <w:r>
        <w:rPr>
          <w:sz w:val="14"/>
        </w:rPr>
        <w:t xml:space="preserve">Relative water content (RWC) of </w:t>
      </w:r>
      <w:r w:rsidR="00FF2F8D" w:rsidRPr="00FF2F8D">
        <w:rPr>
          <w:rFonts w:ascii="Arial" w:hAnsi="Arial"/>
          <w:i/>
          <w:iCs/>
          <w:sz w:val="14"/>
        </w:rPr>
        <w:t>Mirabilis jalapa L</w:t>
      </w:r>
      <w:r>
        <w:rPr>
          <w:sz w:val="14"/>
        </w:rPr>
        <w:t>eaves under</w:t>
      </w:r>
      <w:r>
        <w:rPr>
          <w:spacing w:val="40"/>
          <w:sz w:val="14"/>
        </w:rPr>
        <w:t xml:space="preserve"> </w:t>
      </w:r>
      <w:r>
        <w:rPr>
          <w:sz w:val="14"/>
        </w:rPr>
        <w:t>combined</w:t>
      </w:r>
      <w:r>
        <w:rPr>
          <w:spacing w:val="-5"/>
          <w:sz w:val="14"/>
        </w:rPr>
        <w:t xml:space="preserve"> </w:t>
      </w:r>
      <w:r>
        <w:rPr>
          <w:sz w:val="14"/>
        </w:rPr>
        <w:t>drought and</w:t>
      </w:r>
      <w:r>
        <w:rPr>
          <w:spacing w:val="-5"/>
          <w:sz w:val="14"/>
        </w:rPr>
        <w:t xml:space="preserve"> </w:t>
      </w:r>
      <w:r>
        <w:rPr>
          <w:sz w:val="14"/>
        </w:rPr>
        <w:t>salinity</w:t>
      </w:r>
      <w:r>
        <w:rPr>
          <w:spacing w:val="-1"/>
          <w:sz w:val="14"/>
        </w:rPr>
        <w:t xml:space="preserve"> </w:t>
      </w:r>
      <w:r>
        <w:rPr>
          <w:sz w:val="14"/>
        </w:rPr>
        <w:t>stress.</w:t>
      </w:r>
      <w:r>
        <w:rPr>
          <w:spacing w:val="-2"/>
          <w:sz w:val="14"/>
        </w:rPr>
        <w:t xml:space="preserve"> </w:t>
      </w:r>
      <w:r>
        <w:rPr>
          <w:sz w:val="14"/>
        </w:rPr>
        <w:t>Values</w:t>
      </w:r>
      <w:r>
        <w:rPr>
          <w:spacing w:val="-1"/>
          <w:sz w:val="14"/>
        </w:rPr>
        <w:t xml:space="preserve"> </w:t>
      </w:r>
      <w:r>
        <w:rPr>
          <w:sz w:val="14"/>
        </w:rPr>
        <w:t>represent</w:t>
      </w:r>
      <w:r>
        <w:rPr>
          <w:spacing w:val="-2"/>
          <w:sz w:val="14"/>
        </w:rPr>
        <w:t xml:space="preserve"> </w:t>
      </w:r>
      <w:r>
        <w:rPr>
          <w:sz w:val="14"/>
        </w:rPr>
        <w:t>mean</w:t>
      </w:r>
      <w:r>
        <w:rPr>
          <w:spacing w:val="-1"/>
          <w:sz w:val="14"/>
        </w:rPr>
        <w:t xml:space="preserve"> </w:t>
      </w:r>
      <w:r>
        <w:rPr>
          <w:sz w:val="14"/>
        </w:rPr>
        <w:t>±</w:t>
      </w:r>
      <w:r>
        <w:rPr>
          <w:spacing w:val="-8"/>
          <w:sz w:val="14"/>
        </w:rPr>
        <w:t xml:space="preserve"> </w:t>
      </w:r>
      <w:r>
        <w:rPr>
          <w:sz w:val="14"/>
        </w:rPr>
        <w:t>standard</w:t>
      </w:r>
      <w:r>
        <w:rPr>
          <w:spacing w:val="40"/>
          <w:sz w:val="14"/>
        </w:rPr>
        <w:t xml:space="preserve"> </w:t>
      </w:r>
      <w:r>
        <w:rPr>
          <w:sz w:val="14"/>
        </w:rPr>
        <w:t>deviation (</w:t>
      </w:r>
      <w:r>
        <w:rPr>
          <w:rFonts w:ascii="Arial" w:hAnsi="Arial"/>
          <w:i/>
          <w:sz w:val="14"/>
        </w:rPr>
        <w:t xml:space="preserve">n </w:t>
      </w:r>
      <w:r>
        <w:rPr>
          <w:sz w:val="14"/>
        </w:rPr>
        <w:t xml:space="preserve">= 30). </w:t>
      </w:r>
      <w:r>
        <w:rPr>
          <w:rFonts w:ascii="Arial" w:hAnsi="Arial"/>
          <w:i/>
          <w:sz w:val="14"/>
        </w:rPr>
        <w:t>Significance levels refer to overall ANOVA treatment</w:t>
      </w:r>
      <w:r>
        <w:rPr>
          <w:rFonts w:ascii="Arial" w:hAnsi="Arial"/>
          <w:i/>
          <w:spacing w:val="40"/>
          <w:sz w:val="14"/>
        </w:rPr>
        <w:t xml:space="preserve"> </w:t>
      </w:r>
      <w:r>
        <w:rPr>
          <w:rFonts w:ascii="Arial" w:hAnsi="Arial"/>
          <w:i/>
          <w:sz w:val="14"/>
        </w:rPr>
        <w:t>effects; mean separation was performed using LSD at P = 0.05.</w:t>
      </w:r>
    </w:p>
    <w:p w14:paraId="0E6B8ECA" w14:textId="2D523C0A" w:rsidR="00BC108D" w:rsidRPr="00BC108D" w:rsidRDefault="00BC108D" w:rsidP="008D3668">
      <w:pPr>
        <w:pStyle w:val="BodyText"/>
        <w:spacing w:after="60" w:line="288" w:lineRule="auto"/>
        <w:rPr>
          <w:rFonts w:ascii="Arial"/>
          <w:i/>
          <w:noProof/>
          <w:sz w:val="20"/>
          <w:lang w:val="it-IT" w:eastAsia="it-IT"/>
        </w:rPr>
      </w:pPr>
      <w:r>
        <w:rPr>
          <w:rFonts w:ascii="Arial"/>
          <w:i/>
          <w:noProof/>
          <w:sz w:val="20"/>
        </w:rPr>
        <w:drawing>
          <wp:inline distT="0" distB="0" distL="0" distR="0" wp14:anchorId="1206F765" wp14:editId="371B4C7E">
            <wp:extent cx="2868930" cy="1812925"/>
            <wp:effectExtent l="0" t="0" r="762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8930" cy="1812925"/>
                    </a:xfrm>
                    <a:prstGeom prst="rect">
                      <a:avLst/>
                    </a:prstGeom>
                  </pic:spPr>
                </pic:pic>
              </a:graphicData>
            </a:graphic>
          </wp:inline>
        </w:drawing>
      </w:r>
    </w:p>
    <w:p w14:paraId="3284791D" w14:textId="1A5D1CA6" w:rsidR="005A6EFD" w:rsidRDefault="00B67A8E" w:rsidP="008D3668">
      <w:pPr>
        <w:spacing w:after="60" w:line="288" w:lineRule="auto"/>
        <w:jc w:val="both"/>
        <w:rPr>
          <w:sz w:val="14"/>
        </w:rPr>
      </w:pPr>
      <w:r>
        <w:rPr>
          <w:rFonts w:ascii="Arial" w:hAnsi="Arial"/>
          <w:b/>
          <w:sz w:val="14"/>
        </w:rPr>
        <w:t xml:space="preserve">Figure 4: </w:t>
      </w:r>
      <w:r>
        <w:rPr>
          <w:sz w:val="14"/>
        </w:rPr>
        <w:t xml:space="preserve">Chlorophyll stability index (CSI) of </w:t>
      </w:r>
      <w:r>
        <w:rPr>
          <w:rFonts w:ascii="Arial" w:hAnsi="Arial"/>
          <w:i/>
          <w:sz w:val="14"/>
        </w:rPr>
        <w:t xml:space="preserve">Mirabilis jalapa </w:t>
      </w:r>
      <w:r>
        <w:rPr>
          <w:sz w:val="14"/>
        </w:rPr>
        <w:t>plants</w:t>
      </w:r>
      <w:r>
        <w:rPr>
          <w:spacing w:val="40"/>
          <w:sz w:val="14"/>
        </w:rPr>
        <w:t xml:space="preserve"> </w:t>
      </w:r>
      <w:r>
        <w:rPr>
          <w:spacing w:val="-2"/>
          <w:sz w:val="14"/>
        </w:rPr>
        <w:t>following</w:t>
      </w:r>
      <w:r>
        <w:rPr>
          <w:sz w:val="14"/>
        </w:rPr>
        <w:tab/>
      </w:r>
      <w:r>
        <w:rPr>
          <w:spacing w:val="-2"/>
          <w:sz w:val="14"/>
        </w:rPr>
        <w:t>abiotic</w:t>
      </w:r>
      <w:r>
        <w:rPr>
          <w:sz w:val="14"/>
        </w:rPr>
        <w:tab/>
      </w:r>
      <w:r>
        <w:rPr>
          <w:spacing w:val="-2"/>
          <w:sz w:val="14"/>
        </w:rPr>
        <w:t>stress</w:t>
      </w:r>
      <w:r>
        <w:rPr>
          <w:sz w:val="14"/>
        </w:rPr>
        <w:tab/>
      </w:r>
      <w:r>
        <w:rPr>
          <w:spacing w:val="-2"/>
          <w:sz w:val="14"/>
        </w:rPr>
        <w:t>treatments.</w:t>
      </w:r>
      <w:r>
        <w:rPr>
          <w:spacing w:val="40"/>
          <w:sz w:val="14"/>
        </w:rPr>
        <w:t xml:space="preserve"> </w:t>
      </w:r>
      <w:r>
        <w:rPr>
          <w:sz w:val="14"/>
        </w:rPr>
        <w:t>Bars</w:t>
      </w:r>
      <w:r>
        <w:rPr>
          <w:spacing w:val="16"/>
          <w:sz w:val="14"/>
        </w:rPr>
        <w:t xml:space="preserve"> </w:t>
      </w:r>
      <w:r>
        <w:rPr>
          <w:sz w:val="14"/>
        </w:rPr>
        <w:t>represent</w:t>
      </w:r>
      <w:r>
        <w:rPr>
          <w:spacing w:val="15"/>
          <w:sz w:val="14"/>
        </w:rPr>
        <w:t xml:space="preserve"> </w:t>
      </w:r>
      <w:r>
        <w:rPr>
          <w:sz w:val="14"/>
        </w:rPr>
        <w:t>mean</w:t>
      </w:r>
      <w:r>
        <w:rPr>
          <w:spacing w:val="13"/>
          <w:sz w:val="14"/>
        </w:rPr>
        <w:t xml:space="preserve"> </w:t>
      </w:r>
      <w:r>
        <w:rPr>
          <w:sz w:val="14"/>
        </w:rPr>
        <w:t>±</w:t>
      </w:r>
      <w:r>
        <w:rPr>
          <w:spacing w:val="9"/>
          <w:sz w:val="14"/>
        </w:rPr>
        <w:t xml:space="preserve"> </w:t>
      </w:r>
      <w:r>
        <w:rPr>
          <w:sz w:val="14"/>
        </w:rPr>
        <w:t>standard</w:t>
      </w:r>
      <w:r>
        <w:rPr>
          <w:spacing w:val="12"/>
          <w:sz w:val="14"/>
        </w:rPr>
        <w:t xml:space="preserve"> </w:t>
      </w:r>
      <w:r>
        <w:rPr>
          <w:sz w:val="14"/>
        </w:rPr>
        <w:t>deviation</w:t>
      </w:r>
      <w:r>
        <w:rPr>
          <w:spacing w:val="13"/>
          <w:sz w:val="14"/>
        </w:rPr>
        <w:t xml:space="preserve"> </w:t>
      </w:r>
      <w:r>
        <w:rPr>
          <w:sz w:val="14"/>
        </w:rPr>
        <w:t>(</w:t>
      </w:r>
      <w:r>
        <w:rPr>
          <w:rFonts w:ascii="Arial" w:hAnsi="Arial"/>
          <w:i/>
          <w:sz w:val="14"/>
        </w:rPr>
        <w:t>n</w:t>
      </w:r>
      <w:r>
        <w:rPr>
          <w:rFonts w:ascii="Arial" w:hAnsi="Arial"/>
          <w:i/>
          <w:spacing w:val="11"/>
          <w:sz w:val="14"/>
        </w:rPr>
        <w:t xml:space="preserve"> </w:t>
      </w:r>
      <w:r>
        <w:rPr>
          <w:sz w:val="14"/>
        </w:rPr>
        <w:t>=</w:t>
      </w:r>
      <w:r>
        <w:rPr>
          <w:spacing w:val="13"/>
          <w:sz w:val="14"/>
        </w:rPr>
        <w:t xml:space="preserve"> </w:t>
      </w:r>
      <w:r>
        <w:rPr>
          <w:sz w:val="14"/>
        </w:rPr>
        <w:t>30).</w:t>
      </w:r>
      <w:r>
        <w:rPr>
          <w:spacing w:val="15"/>
          <w:sz w:val="14"/>
        </w:rPr>
        <w:t xml:space="preserve"> </w:t>
      </w:r>
      <w:r>
        <w:rPr>
          <w:sz w:val="14"/>
        </w:rPr>
        <w:t>Significance</w:t>
      </w:r>
      <w:r>
        <w:rPr>
          <w:spacing w:val="13"/>
          <w:sz w:val="14"/>
        </w:rPr>
        <w:t xml:space="preserve"> </w:t>
      </w:r>
      <w:r>
        <w:rPr>
          <w:spacing w:val="-2"/>
          <w:sz w:val="14"/>
        </w:rPr>
        <w:t>levels</w:t>
      </w:r>
      <w:r w:rsidR="00B13AD6">
        <w:rPr>
          <w:rFonts w:hint="cs"/>
          <w:sz w:val="14"/>
          <w:rtl/>
        </w:rPr>
        <w:t xml:space="preserve"> </w:t>
      </w:r>
      <w:r>
        <w:rPr>
          <w:sz w:val="14"/>
        </w:rPr>
        <w:t>refer to overall ANOVA treatment effects; mean separation was</w:t>
      </w:r>
      <w:r>
        <w:rPr>
          <w:spacing w:val="40"/>
          <w:sz w:val="14"/>
        </w:rPr>
        <w:t xml:space="preserve"> </w:t>
      </w:r>
      <w:r>
        <w:rPr>
          <w:sz w:val="14"/>
        </w:rPr>
        <w:t>performed using LSD at P = 0.05.</w:t>
      </w:r>
    </w:p>
    <w:p w14:paraId="04B29AD5" w14:textId="77777777" w:rsidR="005A6EFD" w:rsidRPr="0038122B" w:rsidRDefault="00B67A8E" w:rsidP="0038122B">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Plant survival after drought and salt stress varied by treatment (Figure 5). The BG+AM group had the highest survival rate at 94%, followed by bat guano (88%), alpaca manure (85%), commercial fertilizer (82%), and control (78%).</w:t>
      </w:r>
    </w:p>
    <w:p w14:paraId="1D66978F" w14:textId="35C87EAF" w:rsidR="00B277B4" w:rsidRPr="00B277B4" w:rsidRDefault="00B277B4" w:rsidP="008D3668">
      <w:pPr>
        <w:pStyle w:val="BodyText"/>
        <w:spacing w:after="60" w:line="288" w:lineRule="auto"/>
        <w:rPr>
          <w:noProof/>
          <w:sz w:val="20"/>
          <w:lang w:val="it-IT" w:eastAsia="it-IT"/>
        </w:rPr>
      </w:pPr>
      <w:r>
        <w:rPr>
          <w:noProof/>
          <w:sz w:val="20"/>
        </w:rPr>
        <w:drawing>
          <wp:inline distT="0" distB="0" distL="0" distR="0" wp14:anchorId="5630522B" wp14:editId="366758DA">
            <wp:extent cx="2867025" cy="1671638"/>
            <wp:effectExtent l="19050" t="19050" r="9525" b="2413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68930" cy="1672749"/>
                    </a:xfrm>
                    <a:prstGeom prst="rect">
                      <a:avLst/>
                    </a:prstGeom>
                    <a:ln>
                      <a:solidFill>
                        <a:schemeClr val="tx1"/>
                      </a:solidFill>
                    </a:ln>
                  </pic:spPr>
                </pic:pic>
              </a:graphicData>
            </a:graphic>
          </wp:inline>
        </w:drawing>
      </w:r>
    </w:p>
    <w:p w14:paraId="702C28B4" w14:textId="77777777" w:rsidR="005A6EFD" w:rsidRDefault="00B67A8E" w:rsidP="008D3668">
      <w:pPr>
        <w:spacing w:after="60" w:line="288" w:lineRule="auto"/>
        <w:jc w:val="both"/>
        <w:rPr>
          <w:sz w:val="14"/>
        </w:rPr>
      </w:pPr>
      <w:r>
        <w:rPr>
          <w:rFonts w:ascii="Arial" w:hAnsi="Arial"/>
          <w:b/>
          <w:sz w:val="14"/>
        </w:rPr>
        <w:t xml:space="preserve">Figure 5: </w:t>
      </w:r>
      <w:r>
        <w:rPr>
          <w:sz w:val="14"/>
        </w:rPr>
        <w:t>Survival</w:t>
      </w:r>
      <w:r>
        <w:rPr>
          <w:spacing w:val="-2"/>
          <w:sz w:val="14"/>
        </w:rPr>
        <w:t xml:space="preserve"> </w:t>
      </w:r>
      <w:r>
        <w:rPr>
          <w:sz w:val="14"/>
        </w:rPr>
        <w:t xml:space="preserve">rate of </w:t>
      </w:r>
      <w:r>
        <w:rPr>
          <w:rFonts w:ascii="Arial" w:hAnsi="Arial"/>
          <w:i/>
          <w:sz w:val="14"/>
        </w:rPr>
        <w:t xml:space="preserve">Mirabilis jalapa </w:t>
      </w:r>
      <w:r>
        <w:rPr>
          <w:sz w:val="14"/>
        </w:rPr>
        <w:t>plants after sequential drought</w:t>
      </w:r>
      <w:r>
        <w:rPr>
          <w:spacing w:val="40"/>
          <w:sz w:val="14"/>
        </w:rPr>
        <w:t xml:space="preserve"> </w:t>
      </w:r>
      <w:r>
        <w:rPr>
          <w:sz w:val="14"/>
        </w:rPr>
        <w:t>and salinity stress. Data</w:t>
      </w:r>
      <w:r>
        <w:rPr>
          <w:spacing w:val="-3"/>
          <w:sz w:val="14"/>
        </w:rPr>
        <w:t xml:space="preserve"> </w:t>
      </w:r>
      <w:r>
        <w:rPr>
          <w:sz w:val="14"/>
        </w:rPr>
        <w:t>represent mean survival percentage ±</w:t>
      </w:r>
      <w:r>
        <w:rPr>
          <w:spacing w:val="-3"/>
          <w:sz w:val="14"/>
        </w:rPr>
        <w:t xml:space="preserve"> </w:t>
      </w:r>
      <w:r>
        <w:rPr>
          <w:sz w:val="14"/>
        </w:rPr>
        <w:t>standard</w:t>
      </w:r>
      <w:r>
        <w:rPr>
          <w:spacing w:val="40"/>
          <w:sz w:val="14"/>
        </w:rPr>
        <w:t xml:space="preserve"> </w:t>
      </w:r>
      <w:r>
        <w:rPr>
          <w:sz w:val="14"/>
        </w:rPr>
        <w:t>deviation (</w:t>
      </w:r>
      <w:r>
        <w:rPr>
          <w:rFonts w:ascii="Arial" w:hAnsi="Arial"/>
          <w:i/>
          <w:sz w:val="14"/>
        </w:rPr>
        <w:t xml:space="preserve">n </w:t>
      </w:r>
      <w:r>
        <w:rPr>
          <w:sz w:val="14"/>
        </w:rPr>
        <w:t>= 30). Significance levels refer to overall ANOVA treatment</w:t>
      </w:r>
      <w:r>
        <w:rPr>
          <w:spacing w:val="40"/>
          <w:sz w:val="14"/>
        </w:rPr>
        <w:t xml:space="preserve"> </w:t>
      </w:r>
      <w:r>
        <w:rPr>
          <w:sz w:val="14"/>
        </w:rPr>
        <w:t>effects; mean separation was performed using LSD at P = 0.05.</w:t>
      </w:r>
    </w:p>
    <w:p w14:paraId="07F42A33" w14:textId="77777777" w:rsidR="005A6EFD" w:rsidRPr="0038122B" w:rsidRDefault="00B67A8E" w:rsidP="0038122B">
      <w:pPr>
        <w:pStyle w:val="Heading2"/>
        <w:spacing w:after="60" w:line="288" w:lineRule="auto"/>
        <w:ind w:left="0"/>
        <w:rPr>
          <w:sz w:val="20"/>
          <w:szCs w:val="20"/>
        </w:rPr>
      </w:pPr>
      <w:r w:rsidRPr="0038122B">
        <w:rPr>
          <w:sz w:val="20"/>
          <w:szCs w:val="20"/>
        </w:rPr>
        <w:t>Discussion</w:t>
      </w:r>
    </w:p>
    <w:p w14:paraId="3D0388EC"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lastRenderedPageBreak/>
        <w:t>The most prominent outcome of this study was the consistently superior performance of Mirabilis jalapa plants receiving the combined application of bat guano and alpaca manure across all evaluated parameters. Compared with individual organic amendments, commercial fertilizer, and the unfertilized control, the combined treatment significantly enhanced seed germination, vegetative growth, flower number and size, anthocyanin accumulation, and tolerance to drought and salinity stress. These results indicate a synergistic interaction between the two organic inputs, likely arising from complementary nutrient release patterns and improved substrate conditions.</w:t>
      </w:r>
    </w:p>
    <w:p w14:paraId="4BA88785"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Bat guano provides readily available nitrogen and phosphorus that support early seedling establishment and rapid vegetative growth, while alpaca manure contributes a slower, sustained nutrient supply and organic matter that enhances microbial activity and water-holding capacity. The integration of these two amendments appears to optimize nutrient availability throughout the plant growth cycle, thereby improving both ornamental quality and physiological resilience.</w:t>
      </w:r>
    </w:p>
    <w:p w14:paraId="1B63E597" w14:textId="77777777" w:rsidR="005A6EFD" w:rsidRPr="0038122B" w:rsidRDefault="00B67A8E" w:rsidP="008D3668">
      <w:pPr>
        <w:pStyle w:val="Heading2"/>
        <w:spacing w:after="60" w:line="288" w:lineRule="auto"/>
        <w:ind w:left="0"/>
        <w:rPr>
          <w:sz w:val="18"/>
          <w:szCs w:val="18"/>
        </w:rPr>
      </w:pPr>
      <w:r w:rsidRPr="0038122B">
        <w:rPr>
          <w:sz w:val="18"/>
          <w:szCs w:val="18"/>
        </w:rPr>
        <w:t>Seed Germination and Early Growth</w:t>
      </w:r>
    </w:p>
    <w:p w14:paraId="626B9763"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The improved germination rate and seedling vigor seen in treatments using bat guano and BG + AM were likely due to greater levels of P and N found in guano, which improves both enzymatic action and the emergence of roots [18,19]. Alpaca manure supported slower but more stable releases of nutrients, improving conditions in the substrate and balance with microbes, which reflects earlier findings on organic inputs as improvements to germination [23-25].</w:t>
      </w:r>
    </w:p>
    <w:p w14:paraId="7164AD42" w14:textId="77777777" w:rsidR="005A6EFD" w:rsidRPr="0038122B" w:rsidRDefault="00B67A8E" w:rsidP="008D3668">
      <w:pPr>
        <w:pStyle w:val="Heading2"/>
        <w:spacing w:after="60" w:line="288" w:lineRule="auto"/>
        <w:ind w:left="0"/>
        <w:rPr>
          <w:sz w:val="18"/>
          <w:szCs w:val="18"/>
        </w:rPr>
      </w:pPr>
      <w:r w:rsidRPr="0038122B">
        <w:rPr>
          <w:sz w:val="18"/>
          <w:szCs w:val="18"/>
        </w:rPr>
        <w:t>Vegetative Development</w:t>
      </w:r>
    </w:p>
    <w:p w14:paraId="4DDEAD05" w14:textId="4D235CDF"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t>The</w:t>
      </w:r>
      <w:r>
        <w:rPr>
          <w:spacing w:val="-4"/>
        </w:rPr>
        <w:t xml:space="preserve"> </w:t>
      </w:r>
      <w:r>
        <w:t>enhanced</w:t>
      </w:r>
      <w:r>
        <w:rPr>
          <w:spacing w:val="-4"/>
        </w:rPr>
        <w:t xml:space="preserve"> </w:t>
      </w:r>
      <w:r>
        <w:t>growth</w:t>
      </w:r>
      <w:r>
        <w:rPr>
          <w:spacing w:val="-5"/>
        </w:rPr>
        <w:t xml:space="preserve"> </w:t>
      </w:r>
      <w:r>
        <w:t>of vegetative</w:t>
      </w:r>
      <w:r>
        <w:rPr>
          <w:spacing w:val="-1"/>
        </w:rPr>
        <w:t xml:space="preserve"> </w:t>
      </w:r>
      <w:r>
        <w:t>phase</w:t>
      </w:r>
      <w:r>
        <w:rPr>
          <w:spacing w:val="-4"/>
        </w:rPr>
        <w:t xml:space="preserve"> </w:t>
      </w:r>
      <w:r>
        <w:t>growth</w:t>
      </w:r>
      <w:r>
        <w:rPr>
          <w:spacing w:val="-5"/>
        </w:rPr>
        <w:t xml:space="preserve"> </w:t>
      </w:r>
      <w:r>
        <w:t>under</w:t>
      </w:r>
      <w:r>
        <w:rPr>
          <w:spacing w:val="-1"/>
        </w:rPr>
        <w:t xml:space="preserve"> </w:t>
      </w:r>
      <w:r>
        <w:t>the combined</w:t>
      </w:r>
      <w:r>
        <w:rPr>
          <w:spacing w:val="-3"/>
        </w:rPr>
        <w:t xml:space="preserve"> </w:t>
      </w:r>
      <w:r>
        <w:t>treatment</w:t>
      </w:r>
      <w:r>
        <w:rPr>
          <w:spacing w:val="-3"/>
        </w:rPr>
        <w:t xml:space="preserve"> </w:t>
      </w:r>
      <w:r>
        <w:t>indicates</w:t>
      </w:r>
      <w:r>
        <w:rPr>
          <w:spacing w:val="-9"/>
        </w:rPr>
        <w:t xml:space="preserve"> </w:t>
      </w:r>
      <w:r>
        <w:t>a</w:t>
      </w:r>
      <w:r>
        <w:rPr>
          <w:spacing w:val="-3"/>
        </w:rPr>
        <w:t xml:space="preserve"> </w:t>
      </w:r>
      <w:r>
        <w:t>complementary</w:t>
      </w:r>
      <w:r>
        <w:rPr>
          <w:spacing w:val="-6"/>
        </w:rPr>
        <w:t xml:space="preserve"> </w:t>
      </w:r>
      <w:r>
        <w:t>nutrient</w:t>
      </w:r>
      <w:r>
        <w:rPr>
          <w:spacing w:val="-6"/>
        </w:rPr>
        <w:t xml:space="preserve"> </w:t>
      </w:r>
      <w:r>
        <w:t xml:space="preserve">release profile: bat </w:t>
      </w:r>
      <w:r w:rsidRPr="0038122B">
        <w:rPr>
          <w:rFonts w:asciiTheme="minorBidi" w:eastAsiaTheme="minorHAnsi" w:hAnsiTheme="minorBidi" w:cstheme="minorBidi"/>
        </w:rPr>
        <w:t>guano provides a boost of immediately available nutrients, while alpaca manure provides sustained release of minerals. The two phases of nutrient release would have had an additive effect, likely maintaining vegetative growth throughout the vegetative phase [26,27]. The improvement of root structure noticed in the organic amendments is consistent</w:t>
      </w:r>
      <w:r w:rsidR="00B13AD6" w:rsidRPr="0038122B">
        <w:rPr>
          <w:rFonts w:asciiTheme="minorBidi" w:eastAsiaTheme="minorHAnsi" w:hAnsiTheme="minorBidi" w:cstheme="minorBidi"/>
        </w:rPr>
        <w:t xml:space="preserve">. </w:t>
      </w:r>
      <w:r w:rsidRPr="0038122B">
        <w:rPr>
          <w:rFonts w:asciiTheme="minorBidi" w:eastAsiaTheme="minorHAnsi" w:hAnsiTheme="minorBidi" w:cstheme="minorBidi"/>
        </w:rPr>
        <w:t>with other studies, which had findings of improved rhizosphere health, nutrient uptake in organically-manage systems [28].</w:t>
      </w:r>
    </w:p>
    <w:p w14:paraId="0F75730D" w14:textId="77777777" w:rsidR="005A6EFD" w:rsidRPr="0038122B" w:rsidRDefault="00B67A8E" w:rsidP="008D3668">
      <w:pPr>
        <w:pStyle w:val="Heading2"/>
        <w:spacing w:after="60" w:line="288" w:lineRule="auto"/>
        <w:ind w:left="0"/>
        <w:rPr>
          <w:sz w:val="18"/>
          <w:szCs w:val="18"/>
        </w:rPr>
      </w:pPr>
      <w:r w:rsidRPr="0038122B">
        <w:rPr>
          <w:sz w:val="18"/>
          <w:szCs w:val="18"/>
        </w:rPr>
        <w:t>Flower Pigmentation and Morphology</w:t>
      </w:r>
    </w:p>
    <w:p w14:paraId="27CB83AE"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The maximum increase of anthocyanins was noted at BG+AM, suggesting that organic inputs have activated the phenylpropanoid pathway related to pigment accumulation. The nutrient substrates, such as nitrogen and micronutrients like Mg, Fe, and the humic substances in the AM treatment may have contributed to sustained expression of flower pigments by promoting flavonoid biosynthetic pathways [29-31]. Similar increases in flower size and colors have been demonstrated regarding marigold and zinnia grown in organic nutrient systems [32]. The benefits related to flower morphology associated with organic regimes indicated better allocation of resources to vegetative and reproductive growth for ornamental plants. The greater number and fresh mass of flowers implies greater nutrient allocation efficiency towards reproductive tissues [33].</w:t>
      </w:r>
    </w:p>
    <w:p w14:paraId="76BD081D" w14:textId="77777777" w:rsidR="005A6EFD" w:rsidRPr="0038122B" w:rsidRDefault="00B67A8E" w:rsidP="008D3668">
      <w:pPr>
        <w:pStyle w:val="Heading2"/>
        <w:spacing w:after="60" w:line="288" w:lineRule="auto"/>
        <w:ind w:left="0"/>
        <w:rPr>
          <w:sz w:val="18"/>
          <w:szCs w:val="18"/>
        </w:rPr>
      </w:pPr>
      <w:r w:rsidRPr="0038122B">
        <w:rPr>
          <w:sz w:val="18"/>
          <w:szCs w:val="18"/>
        </w:rPr>
        <w:t>Abiotic Stress Resilience</w:t>
      </w:r>
    </w:p>
    <w:p w14:paraId="4CED326D"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 xml:space="preserve">The improved osmotic regulation, membrane integrity, and stability of chlorophyll associated with elevated RWC and CSI in organically treated plants may be due to a higher availability of potassium and organic acids within manure and guano [34- 37]. The superior stress resilience of BG+AM= treated plants provide support for hypotheses that, by including soil </w:t>
      </w:r>
      <w:r w:rsidRPr="0038122B">
        <w:rPr>
          <w:rFonts w:asciiTheme="minorBidi" w:eastAsiaTheme="minorHAnsi" w:hAnsiTheme="minorBidi" w:cstheme="minorBidi"/>
        </w:rPr>
        <w:lastRenderedPageBreak/>
        <w:t>amendments with organic matter and microbial activity, we can develop plants, and plant-soil systems more resilient to drought stress, [38-41].</w:t>
      </w:r>
    </w:p>
    <w:p w14:paraId="1C61E927" w14:textId="77777777" w:rsidR="005A6EFD" w:rsidRPr="0038122B" w:rsidRDefault="00B67A8E" w:rsidP="008D3668">
      <w:pPr>
        <w:pStyle w:val="Heading2"/>
        <w:spacing w:after="60" w:line="288" w:lineRule="auto"/>
        <w:ind w:left="0"/>
        <w:rPr>
          <w:sz w:val="18"/>
          <w:szCs w:val="18"/>
        </w:rPr>
      </w:pPr>
      <w:r w:rsidRPr="0038122B">
        <w:rPr>
          <w:sz w:val="18"/>
          <w:szCs w:val="18"/>
        </w:rPr>
        <w:t>Comparison with Commercial Fertilizer</w:t>
      </w:r>
    </w:p>
    <w:p w14:paraId="733A508F"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While the commercial organic fertilizer enhanced plant performance relative to the unfertilized control, it consistently underperformed relative to the organic amendments [42]. The limitations of microbial diversity and insufficient complex organic compounds in processed fertilizers may have contributed to the greater effectiveness of the natural inputs [43,44]. In addition to nutrients, natural inputs supplied relevant biostimulants that stimulated pigment synthesis, flower initiation, and abiotic stress [45].</w:t>
      </w:r>
    </w:p>
    <w:p w14:paraId="49B5C4D9" w14:textId="77777777" w:rsidR="005A6EFD" w:rsidRPr="0038122B" w:rsidRDefault="00B67A8E" w:rsidP="008D3668">
      <w:pPr>
        <w:pStyle w:val="Heading2"/>
        <w:spacing w:after="60" w:line="288" w:lineRule="auto"/>
        <w:ind w:left="0"/>
        <w:rPr>
          <w:sz w:val="18"/>
          <w:szCs w:val="18"/>
        </w:rPr>
      </w:pPr>
      <w:r w:rsidRPr="0038122B">
        <w:rPr>
          <w:sz w:val="18"/>
          <w:szCs w:val="18"/>
        </w:rPr>
        <w:t>Agronomic Implications</w:t>
      </w:r>
    </w:p>
    <w:p w14:paraId="5D4D8D33"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The synergistic effects associated with bat guano and alpaca manure demonstrate viable sources for sustainable, local production inputs in ornamental crops [46,47]. Mixed use promoted growth, color intensity and stress tolerance while also reducing the need for chemical fertilizers [48]. These practices align with sustainability goals in floriculture while also serving a purpose in protected cultivation systems [49-53].</w:t>
      </w:r>
    </w:p>
    <w:p w14:paraId="032ECB9A"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The enhanced vegetative growth and biomass accumulation observed under the combined bat guano and alpaca manure treatment may also be partially associated with indirect stimulation of cell division and expansion processes. Organic manures are known to contain or promote the production of enzyme cofactors, humic substances, and phytohormone-like compounds, such as auxins, cytokinins, and gibberellins, either inherently or through enhanced microbial activity in the rhizosphere [54]. These bioactive compounds can stimulate meristematic activity, cell division, and tissue differentiation, thereby contributing to improved plant growth and development. Although phytohormones and enzyme activities were not directly measured in this study, the superior growth performance and root development observed in organically amended treatments are consistent with previous reports attributing similar responses to hormone-mediated and enzyme-regulated physiological processes in plants grown with organic fertilizers.</w:t>
      </w:r>
    </w:p>
    <w:p w14:paraId="35457FE7" w14:textId="60AEB8B7" w:rsidR="005A6EFD" w:rsidRPr="0038122B" w:rsidRDefault="00B67A8E" w:rsidP="0038122B">
      <w:pPr>
        <w:pStyle w:val="Heading2"/>
        <w:spacing w:after="60" w:line="288" w:lineRule="auto"/>
        <w:ind w:left="0"/>
        <w:rPr>
          <w:sz w:val="20"/>
          <w:szCs w:val="20"/>
        </w:rPr>
      </w:pPr>
      <w:r w:rsidRPr="0038122B">
        <w:rPr>
          <w:sz w:val="20"/>
          <w:szCs w:val="20"/>
        </w:rPr>
        <w:t>Conclusion</w:t>
      </w:r>
    </w:p>
    <w:p w14:paraId="46489A29" w14:textId="77777777" w:rsidR="005A6EFD" w:rsidRPr="0038122B" w:rsidRDefault="00B67A8E" w:rsidP="0038122B">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This study demonstrates that bat guano and alpaca manure, particularly when applied in combination, can significantly enhance the germination, vegetative growth, flower pigmentation, and abiotic stress tolerance of Mirabilis jalapa under controlled greenhouse conditions. However, as the experiment was conducted during a single growing season in a greenhouse environment, these results should be considered preliminary and may not be directly extrapolated to other climatic conditions, cultivation systems, or crop species.</w:t>
      </w:r>
    </w:p>
    <w:p w14:paraId="6A4EEE2F" w14:textId="77777777" w:rsidR="005A6EFD" w:rsidRPr="0038122B" w:rsidRDefault="00B67A8E" w:rsidP="0038122B">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Rather than advocating the complete substitution of commercial fertilizers, the present findings highlight the potential of bat guano and alpaca manure as promising organic inputs or complementary fertilization strategies for sustainable ornamental production. Further long-term, multi-season, and field-based studies are required to confirm their agronomic consistency, economic feasibility, and broader applicability before definitive recommendations can be made for their use.</w:t>
      </w:r>
    </w:p>
    <w:p w14:paraId="7114725D"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 xml:space="preserve">The enhanced germination and plant growth in the combined treatment points toward a complementary pattern of nutrient release from bat guano, which possesses rapidly available nutrients mainly phosphorus and nitrogen, and alpaca manure serves as an additive to maintain soil value through its action in supporting microbial activity and building up the soil </w:t>
      </w:r>
      <w:r w:rsidRPr="0038122B">
        <w:rPr>
          <w:rFonts w:asciiTheme="minorBidi" w:eastAsiaTheme="minorHAnsi" w:hAnsiTheme="minorBidi" w:cstheme="minorBidi"/>
        </w:rPr>
        <w:lastRenderedPageBreak/>
        <w:t>profile. Flower pigmentation is generally elevated in plants grown in organically amended soils, and organically treated plants had greater pigment development which correlated strongly with nutrient availability and secondary metabolism. In addition to pigment concentration and quality, the physiological performance for abiotic stress further indicates an improvement in the plant's physiology, with more visible recovery and relative water content does proving that organic amendments can increase resilience to environmental force factors, which is valuable for sustainable horticultural production systems that require resilience with efficient input use. Future studies should consider evaluations at a field scale and the addition of economic viability and potential effects on soil microbiota and soil fertility in the long term to provide more support for the use of organic amendments in environmentally responsible production systems.</w:t>
      </w:r>
    </w:p>
    <w:p w14:paraId="38744C34" w14:textId="77777777" w:rsidR="005A6EFD" w:rsidRPr="0038122B" w:rsidRDefault="00B67A8E" w:rsidP="008D3668">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In addition to improved nutrient availability, the positive effects of bat guano and alpaca manure particularly when applied in combination may be partly attributed to the indirect stimulation of physiological processes related to cell division and growth. The presence of organic matter and microbially mediated bioactive compounds in these animal-derived fertilizers may enhance enzyme activity and phytohormone-like signaling, thereby supporting sustained plant growth. However, further studies incorporating direct measurements of hormonal profiles and enzymatic activity are required to confirm these mechanisms of action.</w:t>
      </w:r>
    </w:p>
    <w:p w14:paraId="61C8C181" w14:textId="77777777" w:rsidR="005A6EFD" w:rsidRPr="0038122B" w:rsidRDefault="00B67A8E" w:rsidP="008D3668">
      <w:pPr>
        <w:pStyle w:val="Heading2"/>
        <w:spacing w:after="60" w:line="288" w:lineRule="auto"/>
        <w:ind w:left="0"/>
        <w:rPr>
          <w:sz w:val="20"/>
          <w:szCs w:val="20"/>
        </w:rPr>
      </w:pPr>
      <w:r w:rsidRPr="0038122B">
        <w:rPr>
          <w:sz w:val="20"/>
          <w:szCs w:val="20"/>
        </w:rPr>
        <w:t>Disclosure Statement</w:t>
      </w:r>
    </w:p>
    <w:p w14:paraId="6DB46A1F" w14:textId="77777777" w:rsidR="005A6EFD" w:rsidRPr="0038122B" w:rsidRDefault="00B67A8E" w:rsidP="0038122B">
      <w:pPr>
        <w:pStyle w:val="BodyText"/>
        <w:numPr>
          <w:ilvl w:val="0"/>
          <w:numId w:val="3"/>
        </w:numPr>
        <w:spacing w:after="60" w:line="288" w:lineRule="auto"/>
        <w:ind w:left="284" w:hanging="284"/>
        <w:jc w:val="both"/>
        <w:rPr>
          <w:rFonts w:asciiTheme="minorBidi" w:eastAsiaTheme="minorHAnsi" w:hAnsiTheme="minorBidi" w:cstheme="minorBidi"/>
        </w:rPr>
      </w:pPr>
      <w:r w:rsidRPr="0038122B">
        <w:rPr>
          <w:rFonts w:asciiTheme="minorBidi" w:eastAsiaTheme="minorHAnsi" w:hAnsiTheme="minorBidi" w:cstheme="minorBidi"/>
          <w:b/>
          <w:bCs/>
        </w:rPr>
        <w:t>Ethics approval and consent to participate:</w:t>
      </w:r>
      <w:r w:rsidRPr="0038122B">
        <w:rPr>
          <w:rFonts w:asciiTheme="minorBidi" w:eastAsiaTheme="minorHAnsi" w:hAnsiTheme="minorBidi" w:cstheme="minorBidi"/>
        </w:rPr>
        <w:t xml:space="preserve"> Not applicable</w:t>
      </w:r>
    </w:p>
    <w:p w14:paraId="3D58158F" w14:textId="77777777" w:rsidR="005A6EFD" w:rsidRPr="0038122B" w:rsidRDefault="00B67A8E" w:rsidP="0038122B">
      <w:pPr>
        <w:pStyle w:val="BodyText"/>
        <w:numPr>
          <w:ilvl w:val="0"/>
          <w:numId w:val="3"/>
        </w:numPr>
        <w:spacing w:after="60" w:line="288" w:lineRule="auto"/>
        <w:ind w:left="284" w:hanging="284"/>
        <w:jc w:val="both"/>
        <w:rPr>
          <w:rFonts w:asciiTheme="minorBidi" w:eastAsiaTheme="minorHAnsi" w:hAnsiTheme="minorBidi" w:cstheme="minorBidi"/>
        </w:rPr>
      </w:pPr>
      <w:r w:rsidRPr="0038122B">
        <w:rPr>
          <w:rFonts w:asciiTheme="minorBidi" w:eastAsiaTheme="minorHAnsi" w:hAnsiTheme="minorBidi" w:cstheme="minorBidi"/>
          <w:b/>
          <w:bCs/>
        </w:rPr>
        <w:t>Consent for publication:</w:t>
      </w:r>
      <w:r w:rsidRPr="0038122B">
        <w:rPr>
          <w:rFonts w:asciiTheme="minorBidi" w:eastAsiaTheme="minorHAnsi" w:hAnsiTheme="minorBidi" w:cstheme="minorBidi"/>
        </w:rPr>
        <w:t xml:space="preserve"> Not applicable</w:t>
      </w:r>
    </w:p>
    <w:p w14:paraId="773FD0CF" w14:textId="77777777" w:rsidR="005A6EFD" w:rsidRPr="0038122B" w:rsidRDefault="00B67A8E" w:rsidP="0038122B">
      <w:pPr>
        <w:pStyle w:val="BodyText"/>
        <w:numPr>
          <w:ilvl w:val="0"/>
          <w:numId w:val="3"/>
        </w:numPr>
        <w:spacing w:after="60" w:line="288" w:lineRule="auto"/>
        <w:ind w:left="284" w:hanging="284"/>
        <w:jc w:val="both"/>
        <w:rPr>
          <w:rFonts w:asciiTheme="minorBidi" w:eastAsiaTheme="minorHAnsi" w:hAnsiTheme="minorBidi" w:cstheme="minorBidi"/>
        </w:rPr>
      </w:pPr>
      <w:r w:rsidRPr="0038122B">
        <w:rPr>
          <w:rFonts w:asciiTheme="minorBidi" w:eastAsiaTheme="minorHAnsi" w:hAnsiTheme="minorBidi" w:cstheme="minorBidi"/>
          <w:b/>
          <w:bCs/>
        </w:rPr>
        <w:t>Availability of data and materials:</w:t>
      </w:r>
      <w:r w:rsidRPr="0038122B">
        <w:rPr>
          <w:rFonts w:asciiTheme="minorBidi" w:eastAsiaTheme="minorHAnsi" w:hAnsiTheme="minorBidi" w:cstheme="minorBidi"/>
        </w:rPr>
        <w:t xml:space="preserve"> The raw data required to reproduce these findings are available in the body and illustrations of this manuscript.</w:t>
      </w:r>
    </w:p>
    <w:p w14:paraId="663A8870" w14:textId="41352476" w:rsidR="005A6EFD" w:rsidRPr="0038122B" w:rsidRDefault="00B67A8E" w:rsidP="0038122B">
      <w:pPr>
        <w:pStyle w:val="BodyText"/>
        <w:numPr>
          <w:ilvl w:val="0"/>
          <w:numId w:val="3"/>
        </w:numPr>
        <w:spacing w:after="60" w:line="288" w:lineRule="auto"/>
        <w:ind w:left="284" w:hanging="284"/>
        <w:jc w:val="both"/>
        <w:rPr>
          <w:rFonts w:asciiTheme="minorBidi" w:eastAsiaTheme="minorHAnsi" w:hAnsiTheme="minorBidi" w:cstheme="minorBidi"/>
        </w:rPr>
      </w:pPr>
      <w:r w:rsidRPr="0038122B">
        <w:rPr>
          <w:rFonts w:asciiTheme="minorBidi" w:eastAsiaTheme="minorHAnsi" w:hAnsiTheme="minorBidi" w:cstheme="minorBidi"/>
          <w:b/>
          <w:bCs/>
        </w:rPr>
        <w:t xml:space="preserve">Author's contribution: </w:t>
      </w:r>
      <w:r w:rsidRPr="0038122B">
        <w:rPr>
          <w:rFonts w:asciiTheme="minorBidi" w:eastAsiaTheme="minorHAnsi" w:hAnsiTheme="minorBidi" w:cstheme="minorBidi"/>
        </w:rPr>
        <w:t>The authors confirm their contribution to the paper as follows: study conception and design: D.P.; data analysis and validation: D.P &amp; A.J.; draft manuscript preparation: D.P. Editing and writing: A.J. All authors reviewed the results and approved the final version of the manuscript.</w:t>
      </w:r>
    </w:p>
    <w:p w14:paraId="6E91189C" w14:textId="77777777" w:rsidR="005A6EFD" w:rsidRPr="0038122B" w:rsidRDefault="00B67A8E" w:rsidP="0038122B">
      <w:pPr>
        <w:pStyle w:val="BodyText"/>
        <w:numPr>
          <w:ilvl w:val="0"/>
          <w:numId w:val="3"/>
        </w:numPr>
        <w:spacing w:after="60" w:line="288" w:lineRule="auto"/>
        <w:ind w:left="284" w:hanging="284"/>
        <w:jc w:val="both"/>
        <w:rPr>
          <w:rFonts w:asciiTheme="minorBidi" w:eastAsiaTheme="minorHAnsi" w:hAnsiTheme="minorBidi" w:cstheme="minorBidi"/>
        </w:rPr>
      </w:pPr>
      <w:r w:rsidRPr="0038122B">
        <w:rPr>
          <w:rFonts w:asciiTheme="minorBidi" w:eastAsiaTheme="minorHAnsi" w:hAnsiTheme="minorBidi" w:cstheme="minorBidi"/>
          <w:b/>
          <w:bCs/>
        </w:rPr>
        <w:t>Funding:</w:t>
      </w:r>
      <w:r w:rsidRPr="0038122B">
        <w:rPr>
          <w:rFonts w:asciiTheme="minorBidi" w:eastAsiaTheme="minorHAnsi" w:hAnsiTheme="minorBidi" w:cstheme="minorBidi"/>
        </w:rPr>
        <w:t xml:space="preserve"> This research received no external funding.</w:t>
      </w:r>
    </w:p>
    <w:p w14:paraId="4F6A1667" w14:textId="77777777" w:rsidR="005A6EFD" w:rsidRPr="0038122B" w:rsidRDefault="00B67A8E" w:rsidP="0038122B">
      <w:pPr>
        <w:pStyle w:val="BodyText"/>
        <w:numPr>
          <w:ilvl w:val="0"/>
          <w:numId w:val="3"/>
        </w:numPr>
        <w:spacing w:after="60" w:line="288" w:lineRule="auto"/>
        <w:ind w:left="284" w:hanging="284"/>
        <w:jc w:val="both"/>
        <w:rPr>
          <w:rFonts w:asciiTheme="minorBidi" w:eastAsiaTheme="minorHAnsi" w:hAnsiTheme="minorBidi" w:cstheme="minorBidi"/>
        </w:rPr>
      </w:pPr>
      <w:r w:rsidRPr="0038122B">
        <w:rPr>
          <w:rFonts w:asciiTheme="minorBidi" w:eastAsiaTheme="minorHAnsi" w:hAnsiTheme="minorBidi" w:cstheme="minorBidi"/>
          <w:b/>
          <w:bCs/>
        </w:rPr>
        <w:t>Conflicts of interest:</w:t>
      </w:r>
      <w:r w:rsidRPr="0038122B">
        <w:rPr>
          <w:rFonts w:asciiTheme="minorBidi" w:eastAsiaTheme="minorHAnsi" w:hAnsiTheme="minorBidi" w:cstheme="minorBidi"/>
        </w:rPr>
        <w:t xml:space="preserve"> The authors declare that there is no conflict of interest regarding the publication of this article</w:t>
      </w:r>
    </w:p>
    <w:p w14:paraId="37053511" w14:textId="2C9D52ED" w:rsidR="005A6EFD" w:rsidRPr="0038122B" w:rsidRDefault="00B67A8E" w:rsidP="0038122B">
      <w:pPr>
        <w:pStyle w:val="BodyText"/>
        <w:numPr>
          <w:ilvl w:val="0"/>
          <w:numId w:val="3"/>
        </w:numPr>
        <w:spacing w:after="60" w:line="288" w:lineRule="auto"/>
        <w:ind w:left="284" w:hanging="284"/>
        <w:jc w:val="both"/>
        <w:rPr>
          <w:rFonts w:asciiTheme="minorBidi" w:eastAsiaTheme="minorHAnsi" w:hAnsiTheme="minorBidi" w:cstheme="minorBidi"/>
        </w:rPr>
      </w:pPr>
      <w:r w:rsidRPr="0038122B">
        <w:rPr>
          <w:rFonts w:asciiTheme="minorBidi" w:eastAsiaTheme="minorHAnsi" w:hAnsiTheme="minorBidi" w:cstheme="minorBidi"/>
          <w:b/>
          <w:bCs/>
        </w:rPr>
        <w:t>Acknowledgments:</w:t>
      </w:r>
      <w:r w:rsidRPr="0038122B">
        <w:rPr>
          <w:rFonts w:asciiTheme="minorBidi" w:eastAsiaTheme="minorHAnsi" w:hAnsiTheme="minorBidi" w:cstheme="minorBidi"/>
        </w:rPr>
        <w:t xml:space="preserve"> The authors would like to express his heartfelt gratitude to colleagues and providers of plants and to</w:t>
      </w:r>
      <w:r w:rsidR="00B13AD6" w:rsidRPr="0038122B">
        <w:rPr>
          <w:rFonts w:asciiTheme="minorBidi" w:eastAsiaTheme="minorHAnsi" w:hAnsiTheme="minorBidi" w:cstheme="minorBidi"/>
        </w:rPr>
        <w:t xml:space="preserve"> </w:t>
      </w:r>
      <w:r w:rsidRPr="0038122B">
        <w:rPr>
          <w:rFonts w:asciiTheme="minorBidi" w:eastAsiaTheme="minorHAnsi" w:hAnsiTheme="minorBidi" w:cstheme="minorBidi"/>
        </w:rPr>
        <w:t>all other sources for their cooperation and guidance in writing this article. We thank the anonymous reviewers for critical consideration of the manuscript.</w:t>
      </w:r>
    </w:p>
    <w:p w14:paraId="5DD19ACD" w14:textId="246CECCA" w:rsidR="005A6EFD" w:rsidRPr="0038122B" w:rsidRDefault="0038122B" w:rsidP="0038122B">
      <w:pPr>
        <w:pStyle w:val="Heading2"/>
        <w:spacing w:after="60" w:line="288" w:lineRule="auto"/>
        <w:ind w:left="0"/>
        <w:rPr>
          <w:sz w:val="20"/>
          <w:szCs w:val="20"/>
        </w:rPr>
      </w:pPr>
      <w:r w:rsidRPr="0038122B">
        <w:rPr>
          <w:sz w:val="20"/>
          <w:szCs w:val="20"/>
        </w:rPr>
        <w:t>Open Access</w:t>
      </w:r>
    </w:p>
    <w:p w14:paraId="40E536D6" w14:textId="6CA6503C" w:rsidR="005A6EFD" w:rsidRPr="0038122B" w:rsidRDefault="00B67A8E" w:rsidP="0038122B">
      <w:pPr>
        <w:pStyle w:val="BodyText"/>
        <w:spacing w:after="60" w:line="288" w:lineRule="auto"/>
        <w:ind w:firstLine="284"/>
        <w:jc w:val="both"/>
        <w:rPr>
          <w:rFonts w:asciiTheme="minorBidi" w:eastAsiaTheme="minorHAnsi" w:hAnsiTheme="minorBidi" w:cstheme="minorBidi"/>
        </w:rPr>
      </w:pPr>
      <w:r w:rsidRPr="0038122B">
        <w:rPr>
          <w:rFonts w:asciiTheme="minorBidi" w:eastAsiaTheme="minorHAnsi" w:hAnsiTheme="minorBidi" w:cstheme="minorBidi"/>
        </w:rPr>
        <w:t>This article is licensed under a Creative Commons Attribution</w:t>
      </w:r>
      <w:r w:rsidR="0038122B" w:rsidRPr="0038122B">
        <w:rPr>
          <w:rFonts w:asciiTheme="minorBidi" w:eastAsiaTheme="minorHAnsi" w:hAnsiTheme="minorBidi" w:cstheme="minorBidi" w:hint="cs"/>
          <w:rtl/>
        </w:rPr>
        <w:t xml:space="preserve"> </w:t>
      </w:r>
      <w:r w:rsidRPr="0038122B">
        <w:rPr>
          <w:rFonts w:asciiTheme="minorBidi" w:eastAsiaTheme="minorHAnsi" w:hAnsiTheme="minorBidi" w:cstheme="minorBidi"/>
        </w:rPr>
        <w:t xml:space="preserve">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If material is not included in the article's Creative Commons licence and your intended use is not permitted by statutory regulation or exceeds the permitted use, you will need to obtain permission directly from the copyright holder. To view a copy of this license, visit </w:t>
      </w:r>
      <w:hyperlink r:id="rId21" w:history="1">
        <w:r w:rsidR="008E1801" w:rsidRPr="006F3428">
          <w:rPr>
            <w:rStyle w:val="Hyperlink"/>
            <w:rFonts w:asciiTheme="minorBidi" w:eastAsiaTheme="minorHAnsi" w:hAnsiTheme="minorBidi" w:cstheme="minorBidi"/>
          </w:rPr>
          <w:t>https://creativecommons.org/licenses/by-nc/4.0/</w:t>
        </w:r>
      </w:hyperlink>
      <w:r w:rsidR="008E1801">
        <w:rPr>
          <w:rFonts w:asciiTheme="minorBidi" w:eastAsiaTheme="minorHAnsi" w:hAnsiTheme="minorBidi" w:cstheme="minorBidi"/>
        </w:rPr>
        <w:t xml:space="preserve"> </w:t>
      </w:r>
    </w:p>
    <w:p w14:paraId="0E21B721" w14:textId="77777777" w:rsidR="00FF2F8D" w:rsidRDefault="00FF2F8D" w:rsidP="0038122B">
      <w:pPr>
        <w:pStyle w:val="Heading2"/>
        <w:spacing w:after="60" w:line="288" w:lineRule="auto"/>
        <w:ind w:left="0"/>
        <w:rPr>
          <w:sz w:val="20"/>
          <w:szCs w:val="20"/>
        </w:rPr>
      </w:pPr>
    </w:p>
    <w:p w14:paraId="34758DA1" w14:textId="76BEBB3B" w:rsidR="005A6EFD" w:rsidRPr="0038122B" w:rsidRDefault="00B67A8E" w:rsidP="0038122B">
      <w:pPr>
        <w:pStyle w:val="Heading2"/>
        <w:spacing w:after="60" w:line="288" w:lineRule="auto"/>
        <w:ind w:left="0"/>
        <w:rPr>
          <w:sz w:val="20"/>
          <w:szCs w:val="20"/>
        </w:rPr>
      </w:pPr>
      <w:r w:rsidRPr="0038122B">
        <w:rPr>
          <w:sz w:val="20"/>
          <w:szCs w:val="20"/>
        </w:rPr>
        <w:t>References</w:t>
      </w:r>
    </w:p>
    <w:p w14:paraId="1EB5E9F6" w14:textId="52A4E964"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Ghadirnezhad Shiade S.R., Fathi A., Minkina T., Wong M.H.,</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Rajput V.D. Biochar application in agroecosystems: a review of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potential benefits and limitations. Environment, Development and</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Sustainability.</w:t>
      </w:r>
      <w:r w:rsidR="008E1801">
        <w:rPr>
          <w:rFonts w:asciiTheme="minorBidi" w:hAnsiTheme="minorBidi" w:cstheme="minorBidi"/>
          <w:sz w:val="16"/>
          <w:szCs w:val="16"/>
        </w:rPr>
        <w:t xml:space="preserve"> </w:t>
      </w:r>
      <w:r w:rsidRPr="008F532F">
        <w:rPr>
          <w:rFonts w:asciiTheme="minorBidi" w:hAnsiTheme="minorBidi" w:cstheme="minorBidi"/>
          <w:spacing w:val="-4"/>
          <w:sz w:val="16"/>
          <w:szCs w:val="16"/>
        </w:rPr>
        <w:t>2024;</w:t>
      </w:r>
      <w:r w:rsidR="008E1801">
        <w:rPr>
          <w:rFonts w:asciiTheme="minorBidi" w:hAnsiTheme="minorBidi" w:cstheme="minorBidi"/>
          <w:sz w:val="16"/>
          <w:szCs w:val="16"/>
        </w:rPr>
        <w:t xml:space="preserve"> </w:t>
      </w:r>
      <w:r w:rsidRPr="008F532F">
        <w:rPr>
          <w:rFonts w:asciiTheme="minorBidi" w:hAnsiTheme="minorBidi" w:cstheme="minorBidi"/>
          <w:spacing w:val="-2"/>
          <w:sz w:val="16"/>
          <w:szCs w:val="16"/>
        </w:rPr>
        <w:t>26(8):19231–19255.</w:t>
      </w:r>
      <w:r w:rsidR="00FF2F8D" w:rsidRPr="008F532F">
        <w:rPr>
          <w:rFonts w:asciiTheme="minorBidi" w:hAnsiTheme="minorBidi" w:cstheme="minorBidi"/>
          <w:spacing w:val="-4"/>
          <w:sz w:val="16"/>
          <w:szCs w:val="16"/>
        </w:rPr>
        <w:t xml:space="preserve"> </w:t>
      </w:r>
      <w:r w:rsidRPr="008F532F">
        <w:rPr>
          <w:rFonts w:asciiTheme="minorBidi" w:hAnsiTheme="minorBidi" w:cstheme="minorBidi"/>
          <w:spacing w:val="-4"/>
          <w:sz w:val="16"/>
          <w:szCs w:val="16"/>
        </w:rPr>
        <w:t>DOI:</w:t>
      </w:r>
      <w:r w:rsidRPr="008F532F">
        <w:rPr>
          <w:rFonts w:asciiTheme="minorBidi" w:hAnsiTheme="minorBidi" w:cstheme="minorBidi"/>
          <w:spacing w:val="40"/>
          <w:sz w:val="16"/>
          <w:szCs w:val="16"/>
        </w:rPr>
        <w:t xml:space="preserve"> </w:t>
      </w:r>
      <w:hyperlink r:id="rId22" w:history="1">
        <w:r w:rsidR="008E1801" w:rsidRPr="006F3428">
          <w:rPr>
            <w:rStyle w:val="Hyperlink"/>
            <w:rFonts w:asciiTheme="minorBidi" w:hAnsiTheme="minorBidi" w:cstheme="minorBidi"/>
            <w:spacing w:val="-2"/>
            <w:sz w:val="16"/>
            <w:szCs w:val="16"/>
          </w:rPr>
          <w:t>https://doi.org/10.1007/s10668-023-03470-z</w:t>
        </w:r>
      </w:hyperlink>
      <w:r w:rsidR="008E1801">
        <w:rPr>
          <w:rFonts w:asciiTheme="minorBidi" w:hAnsiTheme="minorBidi" w:cstheme="minorBidi"/>
          <w:spacing w:val="-2"/>
          <w:sz w:val="16"/>
          <w:szCs w:val="16"/>
        </w:rPr>
        <w:t xml:space="preserve"> </w:t>
      </w:r>
    </w:p>
    <w:p w14:paraId="43DD3E76" w14:textId="2B0F9F72"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Kiani</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H., Khalesro S., Mokhatssi-Bidgoli A., Sharifi Z., Biochar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conservation tillage affect the agronomic performance and fatty</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acid composition of </w:t>
      </w:r>
      <w:r w:rsidRPr="008F532F">
        <w:rPr>
          <w:rFonts w:asciiTheme="minorBidi" w:hAnsiTheme="minorBidi" w:cstheme="minorBidi"/>
          <w:i/>
          <w:sz w:val="16"/>
          <w:szCs w:val="16"/>
        </w:rPr>
        <w:t xml:space="preserve">Nigella sativa </w:t>
      </w:r>
      <w:r w:rsidRPr="008F532F">
        <w:rPr>
          <w:rFonts w:asciiTheme="minorBidi" w:hAnsiTheme="minorBidi" w:cstheme="minorBidi"/>
          <w:sz w:val="16"/>
          <w:szCs w:val="16"/>
        </w:rPr>
        <w:t>L. under both irrigated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dryland conditions. Scientific Reports. 2024;14(1):2648. DOI:</w:t>
      </w:r>
      <w:r w:rsidRPr="008F532F">
        <w:rPr>
          <w:rFonts w:asciiTheme="minorBidi" w:hAnsiTheme="minorBidi" w:cstheme="minorBidi"/>
          <w:spacing w:val="40"/>
          <w:sz w:val="16"/>
          <w:szCs w:val="16"/>
        </w:rPr>
        <w:t xml:space="preserve"> </w:t>
      </w:r>
      <w:hyperlink r:id="rId23" w:history="1">
        <w:r w:rsidR="008E1801" w:rsidRPr="006F3428">
          <w:rPr>
            <w:rStyle w:val="Hyperlink"/>
            <w:rFonts w:asciiTheme="minorBidi" w:hAnsiTheme="minorBidi" w:cstheme="minorBidi"/>
            <w:spacing w:val="-2"/>
            <w:sz w:val="16"/>
            <w:szCs w:val="16"/>
          </w:rPr>
          <w:t>https://doi.org/10.1038/s41598-024-52425-5</w:t>
        </w:r>
      </w:hyperlink>
      <w:r w:rsidR="008E1801">
        <w:rPr>
          <w:rFonts w:asciiTheme="minorBidi" w:hAnsiTheme="minorBidi" w:cstheme="minorBidi"/>
          <w:spacing w:val="-2"/>
          <w:sz w:val="16"/>
          <w:szCs w:val="16"/>
        </w:rPr>
        <w:t xml:space="preserve"> </w:t>
      </w:r>
    </w:p>
    <w:p w14:paraId="5D0DDCE4"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Bolan N.S., Saggar S., Luo J., Bhandral R., Singh J. Gaseous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emissions of nitrogen from grazed pastures: processes,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measurements and modelling, environmental implications,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mitigation. Advances in Agronomy. 2004; 84:37–120. DOI:</w:t>
      </w:r>
      <w:r w:rsidRPr="008F532F">
        <w:rPr>
          <w:rFonts w:asciiTheme="minorBidi" w:hAnsiTheme="minorBidi" w:cstheme="minorBidi"/>
          <w:spacing w:val="40"/>
          <w:sz w:val="16"/>
          <w:szCs w:val="16"/>
        </w:rPr>
        <w:t xml:space="preserve"> </w:t>
      </w:r>
      <w:hyperlink r:id="rId24">
        <w:r w:rsidR="005A6EFD" w:rsidRPr="008F532F">
          <w:rPr>
            <w:rFonts w:asciiTheme="minorBidi" w:hAnsiTheme="minorBidi" w:cstheme="minorBidi"/>
            <w:color w:val="0000FF"/>
            <w:spacing w:val="-2"/>
            <w:sz w:val="16"/>
            <w:szCs w:val="16"/>
            <w:u w:val="single" w:color="0000FF"/>
          </w:rPr>
          <w:t>https://doi.org/10.1016/S0065-2113(04)84002-1</w:t>
        </w:r>
      </w:hyperlink>
    </w:p>
    <w:p w14:paraId="69D7EB79" w14:textId="5B42CFF5"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Md. Harun-Or-Rashid. Antioxidant, antibacterial, cytotoxic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thrombolytic activities of flowers of </w:t>
      </w:r>
      <w:r w:rsidR="00FF2F8D" w:rsidRPr="00FF2F8D">
        <w:rPr>
          <w:rFonts w:asciiTheme="minorBidi" w:hAnsiTheme="minorBidi" w:cstheme="minorBidi"/>
          <w:i/>
          <w:iCs/>
          <w:sz w:val="16"/>
          <w:szCs w:val="16"/>
        </w:rPr>
        <w:t>Mirabilis jalapa L</w:t>
      </w:r>
      <w:r w:rsidRPr="008F532F">
        <w:rPr>
          <w:rFonts w:asciiTheme="minorBidi" w:hAnsiTheme="minorBidi" w:cstheme="minorBidi"/>
          <w:sz w:val="16"/>
          <w:szCs w:val="16"/>
        </w:rPr>
        <w:t>: Possible</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role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of phenolics and flavonoids. Journal of Agriculture and Food</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Research.</w:t>
      </w:r>
      <w:r w:rsidR="008E1801">
        <w:rPr>
          <w:rFonts w:asciiTheme="minorBidi" w:hAnsiTheme="minorBidi" w:cstheme="minorBidi"/>
          <w:sz w:val="16"/>
          <w:szCs w:val="16"/>
        </w:rPr>
        <w:t xml:space="preserve"> </w:t>
      </w:r>
      <w:r w:rsidRPr="008F532F">
        <w:rPr>
          <w:rFonts w:asciiTheme="minorBidi" w:hAnsiTheme="minorBidi" w:cstheme="minorBidi"/>
          <w:spacing w:val="-4"/>
          <w:sz w:val="16"/>
          <w:szCs w:val="16"/>
        </w:rPr>
        <w:t>2023;</w:t>
      </w:r>
      <w:r w:rsidR="008E1801">
        <w:rPr>
          <w:rFonts w:asciiTheme="minorBidi" w:hAnsiTheme="minorBidi" w:cstheme="minorBidi"/>
          <w:sz w:val="16"/>
          <w:szCs w:val="16"/>
        </w:rPr>
        <w:t xml:space="preserve"> </w:t>
      </w:r>
      <w:r w:rsidRPr="008F532F">
        <w:rPr>
          <w:rFonts w:asciiTheme="minorBidi" w:hAnsiTheme="minorBidi" w:cstheme="minorBidi"/>
          <w:spacing w:val="-4"/>
          <w:sz w:val="16"/>
          <w:szCs w:val="16"/>
        </w:rPr>
        <w:t>14:</w:t>
      </w:r>
      <w:r w:rsidR="008E1801">
        <w:rPr>
          <w:rFonts w:asciiTheme="minorBidi" w:hAnsiTheme="minorBidi" w:cstheme="minorBidi"/>
          <w:sz w:val="16"/>
          <w:szCs w:val="16"/>
        </w:rPr>
        <w:t xml:space="preserve"> </w:t>
      </w:r>
      <w:r w:rsidRPr="008F532F">
        <w:rPr>
          <w:rFonts w:asciiTheme="minorBidi" w:hAnsiTheme="minorBidi" w:cstheme="minorBidi"/>
          <w:spacing w:val="-2"/>
          <w:sz w:val="16"/>
          <w:szCs w:val="16"/>
        </w:rPr>
        <w:t>100893</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DOI: </w:t>
      </w:r>
      <w:hyperlink r:id="rId25">
        <w:r w:rsidR="005A6EFD" w:rsidRPr="008F532F">
          <w:rPr>
            <w:rFonts w:asciiTheme="minorBidi" w:hAnsiTheme="minorBidi" w:cstheme="minorBidi"/>
            <w:color w:val="0000FF"/>
            <w:sz w:val="16"/>
            <w:szCs w:val="16"/>
            <w:u w:val="single" w:color="0000FF"/>
          </w:rPr>
          <w:t>https://doi.org/10.1016/j.jafr.2023.100893</w:t>
        </w:r>
      </w:hyperlink>
    </w:p>
    <w:p w14:paraId="474AC210"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b/>
          <w:sz w:val="16"/>
          <w:szCs w:val="16"/>
        </w:rPr>
      </w:pPr>
      <w:r w:rsidRPr="008F532F">
        <w:rPr>
          <w:rFonts w:asciiTheme="minorBidi" w:hAnsiTheme="minorBidi" w:cstheme="minorBidi"/>
          <w:sz w:val="16"/>
          <w:szCs w:val="16"/>
        </w:rPr>
        <w:t>Liu H., Liu Z., Wu Y., Zheng L., Zhang G. Regulatory mechanisms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of anthocyanin biosynthesis in apple and pear. International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Journal of Molecular Sciences. 2021; 22(16):8441. DOI:</w:t>
      </w:r>
      <w:r w:rsidRPr="008F532F">
        <w:rPr>
          <w:rFonts w:asciiTheme="minorBidi" w:hAnsiTheme="minorBidi" w:cstheme="minorBidi"/>
          <w:spacing w:val="40"/>
          <w:sz w:val="16"/>
          <w:szCs w:val="16"/>
        </w:rPr>
        <w:t xml:space="preserve"> </w:t>
      </w:r>
      <w:hyperlink r:id="rId26">
        <w:r w:rsidR="005A6EFD" w:rsidRPr="008F532F">
          <w:rPr>
            <w:rFonts w:asciiTheme="minorBidi" w:hAnsiTheme="minorBidi" w:cstheme="minorBidi"/>
            <w:color w:val="0000FF"/>
            <w:spacing w:val="-2"/>
            <w:sz w:val="16"/>
            <w:szCs w:val="16"/>
            <w:u w:val="single" w:color="0000FF"/>
          </w:rPr>
          <w:t>https://doi.org/10.3390/ijms22168441</w:t>
        </w:r>
      </w:hyperlink>
    </w:p>
    <w:p w14:paraId="1C63486E" w14:textId="1B9A744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Abd Rahman S.-S.N., Tawie</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Tingga</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R.C., Mohamad Bukhori M.F.,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Abd Aziz Abdullah S.M.A.M. A brief review of the nutritive value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and chemical components of bat guano and its potential use as 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natural fertiliser in agriculture. Borneo Journal of Resource</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Science</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and</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Technology.</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2023;</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13(1):22–31.</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DOI: https://doi.org</w:t>
      </w:r>
      <w:hyperlink r:id="rId27">
        <w:r w:rsidR="005A6EFD" w:rsidRPr="008F532F">
          <w:rPr>
            <w:rFonts w:asciiTheme="minorBidi" w:hAnsiTheme="minorBidi" w:cstheme="minorBidi"/>
            <w:sz w:val="16"/>
            <w:szCs w:val="16"/>
          </w:rPr>
          <w:t>/</w:t>
        </w:r>
        <w:r w:rsidR="005A6EFD" w:rsidRPr="008F532F">
          <w:rPr>
            <w:rFonts w:asciiTheme="minorBidi" w:hAnsiTheme="minorBidi" w:cstheme="minorBidi"/>
            <w:color w:val="0000FF"/>
            <w:sz w:val="16"/>
            <w:szCs w:val="16"/>
            <w:u w:val="single" w:color="0000FF"/>
          </w:rPr>
          <w:t>10.33736/bjrst.5100.2023</w:t>
        </w:r>
      </w:hyperlink>
    </w:p>
    <w:p w14:paraId="17433B92" w14:textId="446AFFDD"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Enríquez-Acevedo T., Pérez-Torres J., Ruiz-Agudelo C. Seed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dispersal by fruit bats in Colombia generates ecosystem services.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Agronomy for Sustainable Development. 2020; 40:45. DOI:</w:t>
      </w:r>
      <w:r w:rsidRPr="008F532F">
        <w:rPr>
          <w:rFonts w:asciiTheme="minorBidi" w:hAnsiTheme="minorBidi" w:cstheme="minorBidi"/>
          <w:spacing w:val="40"/>
          <w:sz w:val="16"/>
          <w:szCs w:val="16"/>
        </w:rPr>
        <w:t xml:space="preserve"> </w:t>
      </w:r>
      <w:hyperlink r:id="rId28" w:history="1">
        <w:r w:rsidR="008E1801" w:rsidRPr="006F3428">
          <w:rPr>
            <w:rStyle w:val="Hyperlink"/>
            <w:rFonts w:asciiTheme="minorBidi" w:hAnsiTheme="minorBidi" w:cstheme="minorBidi"/>
            <w:spacing w:val="-2"/>
            <w:sz w:val="16"/>
            <w:szCs w:val="16"/>
          </w:rPr>
          <w:t>https://doi.org/10.1007/s13593-020-00645-0</w:t>
        </w:r>
      </w:hyperlink>
      <w:r w:rsidR="008E1801">
        <w:rPr>
          <w:rFonts w:asciiTheme="minorBidi" w:hAnsiTheme="minorBidi" w:cstheme="minorBidi"/>
          <w:spacing w:val="-2"/>
          <w:sz w:val="16"/>
          <w:szCs w:val="16"/>
        </w:rPr>
        <w:t xml:space="preserve"> </w:t>
      </w:r>
    </w:p>
    <w:p w14:paraId="09510910"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Ewulo B.S., Ojeniyi S.O., Akanni D.A. Effect of poultry manure on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selected soil physical and chemical properties, growth, yield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nutrient status of tomato. African Journal of Agricultural Research.</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2008; 3:612–616.</w:t>
      </w:r>
    </w:p>
    <w:p w14:paraId="09DF5F6D"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McGregor B.A., Brown A.J. Soil nutrient accumulation in alpaca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latrine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sites.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Small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Ruminant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Research.</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2010;</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94(1–3):17–24.</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DOI: </w:t>
      </w:r>
      <w:hyperlink r:id="rId29">
        <w:r w:rsidR="005A6EFD" w:rsidRPr="008F532F">
          <w:rPr>
            <w:rFonts w:asciiTheme="minorBidi" w:hAnsiTheme="minorBidi" w:cstheme="minorBidi"/>
            <w:color w:val="0000FF"/>
            <w:sz w:val="16"/>
            <w:szCs w:val="16"/>
            <w:u w:val="single" w:color="0000FF"/>
          </w:rPr>
          <w:t>https://doi.org/10.1016/j.smallrumres.2010.06.004</w:t>
        </w:r>
      </w:hyperlink>
    </w:p>
    <w:p w14:paraId="7F2B2B90" w14:textId="250D2F25"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Dimande P., Arrobas M., Rodrigues M.Â. Under a tropical climate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and in sandy soils, bat guano mineralises very quickly, behaving</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more</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like a mineral fertiliser than a</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conventional farmyard manure.</w:t>
      </w:r>
      <w:r w:rsidR="008F532F" w:rsidRPr="008F532F">
        <w:rPr>
          <w:rFonts w:asciiTheme="minorBidi" w:hAnsiTheme="minorBidi" w:cstheme="minorBidi"/>
          <w:sz w:val="16"/>
          <w:szCs w:val="16"/>
        </w:rPr>
        <w:t xml:space="preserve"> </w:t>
      </w:r>
      <w:r w:rsidRPr="008F532F">
        <w:rPr>
          <w:rFonts w:asciiTheme="minorBidi" w:hAnsiTheme="minorBidi" w:cstheme="minorBidi"/>
          <w:spacing w:val="-2"/>
          <w:sz w:val="16"/>
          <w:szCs w:val="16"/>
        </w:rPr>
        <w:t>Agronomy.</w:t>
      </w:r>
      <w:r w:rsidR="008F532F" w:rsidRPr="008F532F">
        <w:rPr>
          <w:rFonts w:asciiTheme="minorBidi" w:hAnsiTheme="minorBidi" w:cstheme="minorBidi"/>
          <w:sz w:val="16"/>
          <w:szCs w:val="16"/>
        </w:rPr>
        <w:t xml:space="preserve"> </w:t>
      </w:r>
      <w:r w:rsidRPr="008F532F">
        <w:rPr>
          <w:rFonts w:asciiTheme="minorBidi" w:hAnsiTheme="minorBidi" w:cstheme="minorBidi"/>
          <w:spacing w:val="-4"/>
          <w:sz w:val="16"/>
          <w:szCs w:val="16"/>
        </w:rPr>
        <w:t>2023;</w:t>
      </w:r>
      <w:r w:rsidR="008F532F" w:rsidRPr="008F532F">
        <w:rPr>
          <w:rFonts w:asciiTheme="minorBidi" w:hAnsiTheme="minorBidi" w:cstheme="minorBidi"/>
          <w:sz w:val="16"/>
          <w:szCs w:val="16"/>
        </w:rPr>
        <w:t xml:space="preserve"> </w:t>
      </w:r>
      <w:r w:rsidRPr="008F532F">
        <w:rPr>
          <w:rFonts w:asciiTheme="minorBidi" w:hAnsiTheme="minorBidi" w:cstheme="minorBidi"/>
          <w:spacing w:val="-2"/>
          <w:sz w:val="16"/>
          <w:szCs w:val="16"/>
        </w:rPr>
        <w:t>13:1367.</w:t>
      </w:r>
      <w:r w:rsidR="008F532F" w:rsidRPr="008F532F">
        <w:rPr>
          <w:rFonts w:asciiTheme="minorBidi" w:hAnsiTheme="minorBidi" w:cstheme="minorBidi"/>
          <w:sz w:val="16"/>
          <w:szCs w:val="16"/>
        </w:rPr>
        <w:t xml:space="preserve"> </w:t>
      </w:r>
      <w:r w:rsidRPr="008F532F">
        <w:rPr>
          <w:rFonts w:asciiTheme="minorBidi" w:hAnsiTheme="minorBidi" w:cstheme="minorBidi"/>
          <w:spacing w:val="-4"/>
          <w:sz w:val="16"/>
          <w:szCs w:val="16"/>
        </w:rPr>
        <w:t>DOI:</w:t>
      </w:r>
      <w:r w:rsidR="008F532F" w:rsidRPr="008F532F">
        <w:rPr>
          <w:rFonts w:asciiTheme="minorBidi" w:hAnsiTheme="minorBidi" w:cstheme="minorBidi"/>
          <w:spacing w:val="-4"/>
          <w:sz w:val="16"/>
          <w:szCs w:val="16"/>
        </w:rPr>
        <w:t xml:space="preserve"> </w:t>
      </w:r>
      <w:hyperlink r:id="rId30" w:history="1">
        <w:r w:rsidR="008F532F" w:rsidRPr="008F532F">
          <w:rPr>
            <w:rStyle w:val="Hyperlink"/>
            <w:rFonts w:asciiTheme="minorBidi" w:hAnsiTheme="minorBidi" w:cstheme="minorBidi"/>
            <w:spacing w:val="-2"/>
            <w:sz w:val="16"/>
            <w:szCs w:val="16"/>
          </w:rPr>
          <w:t>https://doi.org/10.3390/agronomy13051367</w:t>
        </w:r>
      </w:hyperlink>
      <w:r w:rsidR="008F532F" w:rsidRPr="008F532F">
        <w:rPr>
          <w:rFonts w:asciiTheme="minorBidi" w:hAnsiTheme="minorBidi" w:cstheme="minorBidi"/>
          <w:spacing w:val="-2"/>
          <w:sz w:val="16"/>
          <w:szCs w:val="16"/>
        </w:rPr>
        <w:t xml:space="preserve"> </w:t>
      </w:r>
    </w:p>
    <w:p w14:paraId="64B3C7A1"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Misra P.K., Gautam N.K., Elangovan V. Bat guano:</w:t>
      </w:r>
      <w:r w:rsidRPr="008F532F">
        <w:rPr>
          <w:rFonts w:asciiTheme="minorBidi" w:hAnsiTheme="minorBidi" w:cstheme="minorBidi"/>
          <w:spacing w:val="18"/>
          <w:sz w:val="16"/>
          <w:szCs w:val="16"/>
        </w:rPr>
        <w:t xml:space="preserve"> </w:t>
      </w:r>
      <w:r w:rsidRPr="008F532F">
        <w:rPr>
          <w:rFonts w:asciiTheme="minorBidi" w:hAnsiTheme="minorBidi" w:cstheme="minorBidi"/>
          <w:sz w:val="16"/>
          <w:szCs w:val="16"/>
        </w:rPr>
        <w:t>a rich source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of macro and microelements essential for plant growth. Annals of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Plant and Soil Research. 2019;21(1):82–86.</w:t>
      </w:r>
    </w:p>
    <w:p w14:paraId="38F89637"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Montemurro F., Maiorana M., Convertini G., Ferri D. Compost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organic amendments in fodder crops: effects on yield, nitrogen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utilization and soil characteristics. Compost Science &amp; Utilization</w:t>
      </w:r>
      <w:r w:rsidRPr="008F532F">
        <w:rPr>
          <w:rFonts w:asciiTheme="minorBidi" w:hAnsiTheme="minorBidi" w:cstheme="minorBidi"/>
          <w:i/>
          <w:sz w:val="16"/>
          <w:szCs w:val="16"/>
        </w:rPr>
        <w:t>.</w:t>
      </w:r>
      <w:r w:rsidRPr="008F532F">
        <w:rPr>
          <w:rFonts w:asciiTheme="minorBidi" w:hAnsiTheme="minorBidi" w:cstheme="minorBidi"/>
          <w:i/>
          <w:spacing w:val="40"/>
          <w:sz w:val="16"/>
          <w:szCs w:val="16"/>
        </w:rPr>
        <w:t xml:space="preserve"> </w:t>
      </w:r>
      <w:r w:rsidRPr="008F532F">
        <w:rPr>
          <w:rFonts w:asciiTheme="minorBidi" w:hAnsiTheme="minorBidi" w:cstheme="minorBidi"/>
          <w:spacing w:val="-2"/>
          <w:sz w:val="16"/>
          <w:szCs w:val="16"/>
        </w:rPr>
        <w:t>2006;14(2):114–123.</w:t>
      </w:r>
    </w:p>
    <w:p w14:paraId="3C656AE8"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 xml:space="preserve">Lambers H., Oliveira R.S. Mineral Nutrition. In: Plant </w:t>
      </w:r>
      <w:r w:rsidRPr="008F532F">
        <w:rPr>
          <w:rFonts w:asciiTheme="minorBidi" w:hAnsiTheme="minorBidi" w:cstheme="minorBidi"/>
          <w:sz w:val="16"/>
          <w:szCs w:val="16"/>
        </w:rPr>
        <w:lastRenderedPageBreak/>
        <w:t>Physiological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Ecology. Springer, Cham. 2019. DOI: </w:t>
      </w:r>
      <w:hyperlink r:id="rId31">
        <w:r w:rsidR="005A6EFD" w:rsidRPr="008F532F">
          <w:rPr>
            <w:rFonts w:asciiTheme="minorBidi" w:hAnsiTheme="minorBidi" w:cstheme="minorBidi"/>
            <w:color w:val="0000FF"/>
            <w:sz w:val="16"/>
            <w:szCs w:val="16"/>
            <w:u w:val="single" w:color="0000FF"/>
          </w:rPr>
          <w:t>https://doi.org/10.1007/978-</w:t>
        </w:r>
      </w:hyperlink>
      <w:r w:rsidRPr="008F532F">
        <w:rPr>
          <w:rFonts w:asciiTheme="minorBidi" w:hAnsiTheme="minorBidi" w:cstheme="minorBidi"/>
          <w:color w:val="0000FF"/>
          <w:spacing w:val="40"/>
          <w:sz w:val="16"/>
          <w:szCs w:val="16"/>
        </w:rPr>
        <w:t xml:space="preserve"> </w:t>
      </w:r>
      <w:hyperlink r:id="rId32">
        <w:r w:rsidR="005A6EFD" w:rsidRPr="008F532F">
          <w:rPr>
            <w:rFonts w:asciiTheme="minorBidi" w:hAnsiTheme="minorBidi" w:cstheme="minorBidi"/>
            <w:color w:val="0000FF"/>
            <w:spacing w:val="-2"/>
            <w:sz w:val="16"/>
            <w:szCs w:val="16"/>
            <w:u w:val="single" w:color="0000FF"/>
          </w:rPr>
          <w:t>3-030-29639-1_9</w:t>
        </w:r>
      </w:hyperlink>
    </w:p>
    <w:p w14:paraId="6AF3D69E" w14:textId="15AD3A7D"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Islam</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Islam</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Akter</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Rahman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M.H.;</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Nandwani</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Effect of</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Organic and</w:t>
      </w:r>
      <w:r w:rsidRPr="008F532F">
        <w:rPr>
          <w:rFonts w:asciiTheme="minorBidi" w:hAnsiTheme="minorBidi" w:cstheme="minorBidi"/>
          <w:spacing w:val="-5"/>
          <w:sz w:val="16"/>
          <w:szCs w:val="16"/>
        </w:rPr>
        <w:t xml:space="preserve"> </w:t>
      </w:r>
      <w:r w:rsidRPr="008F532F">
        <w:rPr>
          <w:rFonts w:asciiTheme="minorBidi" w:hAnsiTheme="minorBidi" w:cstheme="minorBidi"/>
          <w:sz w:val="16"/>
          <w:szCs w:val="16"/>
        </w:rPr>
        <w:t>Inorganic</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Fertilizers on</w:t>
      </w:r>
      <w:r w:rsidRPr="008F532F">
        <w:rPr>
          <w:rFonts w:asciiTheme="minorBidi" w:hAnsiTheme="minorBidi" w:cstheme="minorBidi"/>
          <w:spacing w:val="-6"/>
          <w:sz w:val="16"/>
          <w:szCs w:val="16"/>
        </w:rPr>
        <w:t xml:space="preserve"> </w:t>
      </w:r>
      <w:r w:rsidRPr="008F532F">
        <w:rPr>
          <w:rFonts w:asciiTheme="minorBidi" w:hAnsiTheme="minorBidi" w:cstheme="minorBidi"/>
          <w:sz w:val="16"/>
          <w:szCs w:val="16"/>
        </w:rPr>
        <w:t>Soil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Properties and</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he</w:t>
      </w:r>
      <w:r w:rsidRPr="008F532F">
        <w:rPr>
          <w:rFonts w:asciiTheme="minorBidi" w:hAnsiTheme="minorBidi" w:cstheme="minorBidi"/>
          <w:spacing w:val="-8"/>
          <w:sz w:val="16"/>
          <w:szCs w:val="16"/>
        </w:rPr>
        <w:t xml:space="preserve"> </w:t>
      </w:r>
      <w:r w:rsidRPr="008F532F">
        <w:rPr>
          <w:rFonts w:asciiTheme="minorBidi" w:hAnsiTheme="minorBidi" w:cstheme="minorBidi"/>
          <w:sz w:val="16"/>
          <w:szCs w:val="16"/>
        </w:rPr>
        <w:t>Growth,</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Yield and</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Quality of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Tomato</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in</w:t>
      </w:r>
      <w:r w:rsidRPr="008F532F">
        <w:rPr>
          <w:rFonts w:asciiTheme="minorBidi" w:hAnsiTheme="minorBidi" w:cstheme="minorBidi"/>
          <w:spacing w:val="-4"/>
          <w:sz w:val="16"/>
          <w:szCs w:val="16"/>
        </w:rPr>
        <w:t xml:space="preserve"> </w:t>
      </w:r>
      <w:r w:rsidRPr="008F532F">
        <w:rPr>
          <w:rFonts w:asciiTheme="minorBidi" w:hAnsiTheme="minorBidi" w:cstheme="minorBidi"/>
          <w:sz w:val="16"/>
          <w:szCs w:val="16"/>
        </w:rPr>
        <w:t>Mymensingh,</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Banglade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sh. Agriculture. </w:t>
      </w:r>
      <w:r w:rsidRPr="008F532F">
        <w:rPr>
          <w:rFonts w:asciiTheme="minorBidi" w:hAnsiTheme="minorBidi" w:cstheme="minorBidi"/>
          <w:bCs/>
          <w:sz w:val="16"/>
          <w:szCs w:val="16"/>
        </w:rPr>
        <w:t>2017</w:t>
      </w:r>
      <w:r w:rsidRPr="008F532F">
        <w:rPr>
          <w:rFonts w:asciiTheme="minorBidi" w:hAnsiTheme="minorBidi" w:cstheme="minorBidi"/>
          <w:sz w:val="16"/>
          <w:szCs w:val="16"/>
        </w:rPr>
        <w:t xml:space="preserve">; </w:t>
      </w:r>
      <w:r w:rsidRPr="008F532F">
        <w:rPr>
          <w:rFonts w:asciiTheme="minorBidi" w:hAnsiTheme="minorBidi" w:cstheme="minorBidi"/>
          <w:i/>
          <w:sz w:val="16"/>
          <w:szCs w:val="16"/>
        </w:rPr>
        <w:t>7</w:t>
      </w:r>
      <w:r w:rsidRPr="008F532F">
        <w:rPr>
          <w:rFonts w:asciiTheme="minorBidi" w:hAnsiTheme="minorBidi" w:cstheme="minorBidi"/>
          <w:sz w:val="16"/>
          <w:szCs w:val="16"/>
        </w:rPr>
        <w:t>:</w:t>
      </w:r>
      <w:r w:rsidR="008F532F">
        <w:rPr>
          <w:rFonts w:asciiTheme="minorBidi" w:hAnsiTheme="minorBidi" w:cstheme="minorBidi"/>
          <w:sz w:val="16"/>
          <w:szCs w:val="16"/>
        </w:rPr>
        <w:t xml:space="preserve"> </w:t>
      </w:r>
      <w:r w:rsidRPr="008F532F">
        <w:rPr>
          <w:rFonts w:asciiTheme="minorBidi" w:hAnsiTheme="minorBidi" w:cstheme="minorBidi"/>
          <w:spacing w:val="-4"/>
          <w:sz w:val="16"/>
          <w:szCs w:val="16"/>
        </w:rPr>
        <w:t>18.</w:t>
      </w:r>
      <w:r w:rsidR="00FF2F8D" w:rsidRPr="008F532F">
        <w:rPr>
          <w:rFonts w:asciiTheme="minorBidi" w:hAnsiTheme="minorBidi" w:cstheme="minorBidi"/>
          <w:spacing w:val="-4"/>
          <w:sz w:val="16"/>
          <w:szCs w:val="16"/>
        </w:rPr>
        <w:t xml:space="preserve"> </w:t>
      </w:r>
      <w:r w:rsidRPr="008F532F">
        <w:rPr>
          <w:rFonts w:asciiTheme="minorBidi" w:hAnsiTheme="minorBidi" w:cstheme="minorBidi"/>
          <w:spacing w:val="-4"/>
          <w:sz w:val="16"/>
          <w:szCs w:val="16"/>
        </w:rPr>
        <w:t>DOI:</w:t>
      </w:r>
      <w:r w:rsidRPr="008F532F">
        <w:rPr>
          <w:rFonts w:asciiTheme="minorBidi" w:hAnsiTheme="minorBidi" w:cstheme="minorBidi"/>
          <w:spacing w:val="40"/>
          <w:sz w:val="16"/>
          <w:szCs w:val="16"/>
        </w:rPr>
        <w:t xml:space="preserve"> </w:t>
      </w:r>
      <w:hyperlink r:id="rId33">
        <w:r w:rsidR="005A6EFD" w:rsidRPr="008F532F">
          <w:rPr>
            <w:rFonts w:asciiTheme="minorBidi" w:hAnsiTheme="minorBidi" w:cstheme="minorBidi"/>
            <w:color w:val="0000FF"/>
            <w:spacing w:val="-2"/>
            <w:sz w:val="16"/>
            <w:szCs w:val="16"/>
            <w:u w:val="single" w:color="0000FF"/>
          </w:rPr>
          <w:t>https://doi.org/10.3390/agriculture7030018</w:t>
        </w:r>
      </w:hyperlink>
    </w:p>
    <w:p w14:paraId="0D995288"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Guignard MS, Leitch AR, Acquisti C, Eizaguirre C, Elser JJ,</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Hessen DO, Jeyasingh PD, Neiman M, Richardson AE, Soltis PS,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Soltis DE, Stevens CJ, Trimmer M, Weider LJ, Woodward G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Leitch IJ. Impacts of Nitrogen and Phosphorus: From Genomes to</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Natural</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Ecosystems and Agriculture. Front. Ecol. Evol. 2017; 5:70.</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DOI: https://doi.org/10.3389/fevo.2017.00070</w:t>
      </w:r>
    </w:p>
    <w:p w14:paraId="6CCB6DA0" w14:textId="7213C3DA"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Cao Z., Deng F., Wang R., Li J., Liu X., Li D. Bioaugmentation on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humification during co-composting of corn straw and biogas slurry.</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Bioresource</w:t>
      </w:r>
      <w:r w:rsidRPr="008F532F">
        <w:rPr>
          <w:rFonts w:asciiTheme="minorBidi" w:hAnsiTheme="minorBidi" w:cstheme="minorBidi"/>
          <w:sz w:val="16"/>
          <w:szCs w:val="16"/>
        </w:rPr>
        <w:tab/>
      </w:r>
      <w:r w:rsidRPr="008F532F">
        <w:rPr>
          <w:rFonts w:asciiTheme="minorBidi" w:hAnsiTheme="minorBidi" w:cstheme="minorBidi"/>
          <w:spacing w:val="-2"/>
          <w:sz w:val="16"/>
          <w:szCs w:val="16"/>
        </w:rPr>
        <w:t>Technology</w:t>
      </w:r>
      <w:r w:rsidRPr="008F532F">
        <w:rPr>
          <w:rFonts w:asciiTheme="minorBidi" w:hAnsiTheme="minorBidi" w:cstheme="minorBidi"/>
          <w:i/>
          <w:spacing w:val="-2"/>
          <w:sz w:val="16"/>
          <w:szCs w:val="16"/>
        </w:rPr>
        <w:t>.</w:t>
      </w:r>
      <w:r w:rsidR="00FF2F8D" w:rsidRPr="008F532F">
        <w:rPr>
          <w:rFonts w:asciiTheme="minorBidi" w:hAnsiTheme="minorBidi" w:cstheme="minorBidi"/>
          <w:spacing w:val="-2"/>
          <w:sz w:val="16"/>
          <w:szCs w:val="16"/>
        </w:rPr>
        <w:t xml:space="preserve"> </w:t>
      </w:r>
      <w:r w:rsidRPr="008F532F">
        <w:rPr>
          <w:rFonts w:asciiTheme="minorBidi" w:hAnsiTheme="minorBidi" w:cstheme="minorBidi"/>
          <w:spacing w:val="-2"/>
          <w:sz w:val="16"/>
          <w:szCs w:val="16"/>
        </w:rPr>
        <w:t>2023;374:128756.DOI:</w:t>
      </w:r>
      <w:r w:rsidRPr="008F532F">
        <w:rPr>
          <w:rFonts w:asciiTheme="minorBidi" w:hAnsiTheme="minorBidi" w:cstheme="minorBidi"/>
          <w:spacing w:val="40"/>
          <w:sz w:val="16"/>
          <w:szCs w:val="16"/>
        </w:rPr>
        <w:t xml:space="preserve"> </w:t>
      </w:r>
      <w:hyperlink r:id="rId34">
        <w:r w:rsidR="005A6EFD" w:rsidRPr="008F532F">
          <w:rPr>
            <w:rFonts w:asciiTheme="minorBidi" w:hAnsiTheme="minorBidi" w:cstheme="minorBidi"/>
            <w:color w:val="0000FF"/>
            <w:spacing w:val="-2"/>
            <w:sz w:val="16"/>
            <w:szCs w:val="16"/>
            <w:u w:val="single" w:color="0000FF"/>
          </w:rPr>
          <w:t>https://doi.org/10.1016/j.biortech.2023.128756</w:t>
        </w:r>
      </w:hyperlink>
    </w:p>
    <w:p w14:paraId="5E5AE2C9" w14:textId="79D8FBFC"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Emerson J.K., Alison M. Composition of guano produced by</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frugivorous, sanguivorous, and insectivorous bats. Acta</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Chiropterologica.</w:t>
      </w:r>
      <w:r w:rsidR="008F532F">
        <w:rPr>
          <w:rFonts w:asciiTheme="minorBidi" w:hAnsiTheme="minorBidi" w:cstheme="minorBidi"/>
          <w:sz w:val="16"/>
          <w:szCs w:val="16"/>
        </w:rPr>
        <w:t xml:space="preserve"> </w:t>
      </w:r>
      <w:r w:rsidRPr="008F532F">
        <w:rPr>
          <w:rFonts w:asciiTheme="minorBidi" w:hAnsiTheme="minorBidi" w:cstheme="minorBidi"/>
          <w:spacing w:val="-2"/>
          <w:sz w:val="16"/>
          <w:szCs w:val="16"/>
        </w:rPr>
        <w:t>2007;9(1):261–267.DOI:</w:t>
      </w:r>
      <w:r w:rsidRPr="008F532F">
        <w:rPr>
          <w:rFonts w:asciiTheme="minorBidi" w:hAnsiTheme="minorBidi" w:cstheme="minorBidi"/>
          <w:spacing w:val="40"/>
          <w:sz w:val="16"/>
          <w:szCs w:val="16"/>
        </w:rPr>
        <w:t xml:space="preserve"> </w:t>
      </w:r>
      <w:hyperlink r:id="rId35">
        <w:r w:rsidR="005A6EFD" w:rsidRPr="008F532F">
          <w:rPr>
            <w:rFonts w:asciiTheme="minorBidi" w:hAnsiTheme="minorBidi" w:cstheme="minorBidi"/>
            <w:color w:val="0000FF"/>
            <w:spacing w:val="-2"/>
            <w:sz w:val="16"/>
            <w:szCs w:val="16"/>
            <w:u w:val="single" w:color="0000FF"/>
          </w:rPr>
          <w:t>https://doi.org/10.3161/150811007781694525</w:t>
        </w:r>
      </w:hyperlink>
    </w:p>
    <w:p w14:paraId="2BB1BB57" w14:textId="64E7F546"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Jarosz R., Mierzwa-Hersztek M., Gondek K., Kopeć M., Lošák 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Marcińska-Mazur L. Changes in quantity and quality of organic</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matter in soil after application of poultry litter and poultry litter</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biochar—5-year field experiment. Biomass Conversion and</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Biorefinery</w:t>
      </w:r>
      <w:r w:rsidRPr="008F532F">
        <w:rPr>
          <w:rFonts w:asciiTheme="minorBidi" w:hAnsiTheme="minorBidi" w:cstheme="minorBidi"/>
          <w:i/>
          <w:spacing w:val="-2"/>
          <w:sz w:val="16"/>
          <w:szCs w:val="16"/>
        </w:rPr>
        <w:t>.</w:t>
      </w:r>
      <w:r w:rsidR="008F532F">
        <w:rPr>
          <w:rFonts w:asciiTheme="minorBidi" w:hAnsiTheme="minorBidi" w:cstheme="minorBidi"/>
          <w:i/>
          <w:sz w:val="16"/>
          <w:szCs w:val="16"/>
        </w:rPr>
        <w:t xml:space="preserve"> </w:t>
      </w:r>
      <w:r w:rsidRPr="008F532F">
        <w:rPr>
          <w:rFonts w:asciiTheme="minorBidi" w:hAnsiTheme="minorBidi" w:cstheme="minorBidi"/>
          <w:spacing w:val="-2"/>
          <w:sz w:val="16"/>
          <w:szCs w:val="16"/>
        </w:rPr>
        <w:t>2022;12(7):2925–2934.</w:t>
      </w:r>
      <w:r w:rsidRPr="008F532F">
        <w:rPr>
          <w:rFonts w:asciiTheme="minorBidi" w:hAnsiTheme="minorBidi" w:cstheme="minorBidi"/>
          <w:spacing w:val="40"/>
          <w:sz w:val="16"/>
          <w:szCs w:val="16"/>
        </w:rPr>
        <w:t xml:space="preserve"> </w:t>
      </w:r>
      <w:hyperlink r:id="rId36" w:history="1">
        <w:r w:rsidR="008F532F" w:rsidRPr="006F3428">
          <w:rPr>
            <w:rStyle w:val="Hyperlink"/>
            <w:rFonts w:asciiTheme="minorBidi" w:hAnsiTheme="minorBidi" w:cstheme="minorBidi"/>
            <w:spacing w:val="-2"/>
            <w:sz w:val="16"/>
            <w:szCs w:val="16"/>
          </w:rPr>
          <w:t>https://doi.org/10.1007/s13399-020-01005-4</w:t>
        </w:r>
      </w:hyperlink>
      <w:r w:rsidR="008F532F">
        <w:rPr>
          <w:rFonts w:asciiTheme="minorBidi" w:hAnsiTheme="minorBidi" w:cstheme="minorBidi"/>
          <w:spacing w:val="-2"/>
          <w:sz w:val="16"/>
          <w:szCs w:val="16"/>
        </w:rPr>
        <w:t xml:space="preserve"> </w:t>
      </w:r>
    </w:p>
    <w:p w14:paraId="5190C21A"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Chalker-Scott L. Environmental significance of anthocyanins in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plant stress responses. HortTechnology. 1999;9(1):1–5.DOI:</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https://doi.org/10.1111/j.1751-1097.1999.tb01944.x</w:t>
      </w:r>
    </w:p>
    <w:p w14:paraId="12B1AAFB"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Liu Y., Tikunov Y., Schouten R.E., Marcelis L.F.M., Visser R.G.F.,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Bovy</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A. Anthocyanin</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biosynthesis and degradation</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mechanisms in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solanaceous vegetables: a review. Frontiers in Chemistry</w:t>
      </w:r>
      <w:r w:rsidRPr="008F532F">
        <w:rPr>
          <w:rFonts w:asciiTheme="minorBidi" w:hAnsiTheme="minorBidi" w:cstheme="minorBidi"/>
          <w:i/>
          <w:sz w:val="16"/>
          <w:szCs w:val="16"/>
        </w:rPr>
        <w:t>.</w:t>
      </w:r>
      <w:r w:rsidRPr="008F532F">
        <w:rPr>
          <w:rFonts w:asciiTheme="minorBidi" w:hAnsiTheme="minorBidi" w:cstheme="minorBidi"/>
          <w:i/>
          <w:spacing w:val="40"/>
          <w:sz w:val="16"/>
          <w:szCs w:val="16"/>
        </w:rPr>
        <w:t xml:space="preserve"> </w:t>
      </w:r>
      <w:r w:rsidRPr="008F532F">
        <w:rPr>
          <w:rFonts w:asciiTheme="minorBidi" w:hAnsiTheme="minorBidi" w:cstheme="minorBidi"/>
          <w:sz w:val="16"/>
          <w:szCs w:val="16"/>
        </w:rPr>
        <w:t xml:space="preserve">2018;6:52.DOI: </w:t>
      </w:r>
      <w:hyperlink r:id="rId37">
        <w:r w:rsidR="005A6EFD" w:rsidRPr="008F532F">
          <w:rPr>
            <w:rFonts w:asciiTheme="minorBidi" w:hAnsiTheme="minorBidi" w:cstheme="minorBidi"/>
            <w:color w:val="0000FF"/>
            <w:sz w:val="16"/>
            <w:szCs w:val="16"/>
            <w:u w:val="single" w:color="0000FF"/>
          </w:rPr>
          <w:t>https://doi.org/10.3389/fchem.2018.00052</w:t>
        </w:r>
      </w:hyperlink>
    </w:p>
    <w:p w14:paraId="24BD7301"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Câmara J.S., Locatelli M., Pereira J.A.M., Oliveira H., Arlorio M.,</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Fernandes I., Perestrelo R., Freitas V., Bordiga M. Behind the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scenes of anthocyanins—from the health benefits to potential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applications in</w:t>
      </w:r>
      <w:r w:rsidRPr="008F532F">
        <w:rPr>
          <w:rFonts w:asciiTheme="minorBidi" w:hAnsiTheme="minorBidi" w:cstheme="minorBidi"/>
          <w:spacing w:val="-6"/>
          <w:sz w:val="16"/>
          <w:szCs w:val="16"/>
        </w:rPr>
        <w:t xml:space="preserve"> </w:t>
      </w:r>
      <w:r w:rsidRPr="008F532F">
        <w:rPr>
          <w:rFonts w:asciiTheme="minorBidi" w:hAnsiTheme="minorBidi" w:cstheme="minorBidi"/>
          <w:sz w:val="16"/>
          <w:szCs w:val="16"/>
        </w:rPr>
        <w:t>food, pharmaceutical</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and</w:t>
      </w:r>
      <w:r w:rsidRPr="008F532F">
        <w:rPr>
          <w:rFonts w:asciiTheme="minorBidi" w:hAnsiTheme="minorBidi" w:cstheme="minorBidi"/>
          <w:spacing w:val="-6"/>
          <w:sz w:val="16"/>
          <w:szCs w:val="16"/>
        </w:rPr>
        <w:t xml:space="preserve"> </w:t>
      </w:r>
      <w:r w:rsidRPr="008F532F">
        <w:rPr>
          <w:rFonts w:asciiTheme="minorBidi" w:hAnsiTheme="minorBidi" w:cstheme="minorBidi"/>
          <w:sz w:val="16"/>
          <w:szCs w:val="16"/>
        </w:rPr>
        <w:t>cosmetic</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fields. Nutrients.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2022;14:5133. DOI: https://doi.org/10.3390/nu14235133</w:t>
      </w:r>
    </w:p>
    <w:p w14:paraId="5E999CE6" w14:textId="73B9750C"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Jain S., Lamo K., Walling S., Imchen A., Tirkey J.F., Pratyush,</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Singh A., Singh A. Climate-resilient horticulture: adapting to</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climate change through innovative practices and technologies.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International Journal of Environment and Climate Change</w:t>
      </w:r>
      <w:r w:rsidRPr="008F532F">
        <w:rPr>
          <w:rFonts w:asciiTheme="minorBidi" w:hAnsiTheme="minorBidi" w:cstheme="minorBidi"/>
          <w:i/>
          <w:sz w:val="16"/>
          <w:szCs w:val="16"/>
        </w:rPr>
        <w:t>.</w:t>
      </w:r>
      <w:r w:rsidRPr="008F532F">
        <w:rPr>
          <w:rFonts w:asciiTheme="minorBidi" w:hAnsiTheme="minorBidi" w:cstheme="minorBidi"/>
          <w:i/>
          <w:spacing w:val="40"/>
          <w:sz w:val="16"/>
          <w:szCs w:val="16"/>
        </w:rPr>
        <w:t xml:space="preserve"> </w:t>
      </w:r>
      <w:r w:rsidRPr="008F532F">
        <w:rPr>
          <w:rFonts w:asciiTheme="minorBidi" w:hAnsiTheme="minorBidi" w:cstheme="minorBidi"/>
          <w:spacing w:val="-2"/>
          <w:sz w:val="16"/>
          <w:szCs w:val="16"/>
        </w:rPr>
        <w:t>2024;14(11):219–233.</w:t>
      </w:r>
      <w:r w:rsidR="008F532F" w:rsidRPr="008F532F">
        <w:rPr>
          <w:rFonts w:asciiTheme="minorBidi" w:hAnsiTheme="minorBidi" w:cstheme="minorBidi"/>
          <w:sz w:val="16"/>
          <w:szCs w:val="16"/>
        </w:rPr>
        <w:t xml:space="preserve"> </w:t>
      </w:r>
      <w:r w:rsidRPr="008F532F">
        <w:rPr>
          <w:rFonts w:asciiTheme="minorBidi" w:hAnsiTheme="minorBidi" w:cstheme="minorBidi"/>
          <w:spacing w:val="-4"/>
          <w:sz w:val="16"/>
          <w:szCs w:val="16"/>
        </w:rPr>
        <w:t>DOI:</w:t>
      </w:r>
      <w:r w:rsidR="008F532F" w:rsidRPr="008F532F">
        <w:rPr>
          <w:rFonts w:asciiTheme="minorBidi" w:hAnsiTheme="minorBidi" w:cstheme="minorBidi"/>
          <w:spacing w:val="-4"/>
          <w:sz w:val="16"/>
          <w:szCs w:val="16"/>
        </w:rPr>
        <w:t xml:space="preserve"> </w:t>
      </w:r>
      <w:hyperlink r:id="rId38" w:history="1">
        <w:r w:rsidR="008F532F" w:rsidRPr="006F3428">
          <w:rPr>
            <w:rStyle w:val="Hyperlink"/>
            <w:rFonts w:asciiTheme="minorBidi" w:hAnsiTheme="minorBidi" w:cstheme="minorBidi"/>
            <w:spacing w:val="-2"/>
            <w:sz w:val="16"/>
            <w:szCs w:val="16"/>
          </w:rPr>
          <w:t>https://doi.org/10.9734/ijecc/2024/v14i114541</w:t>
        </w:r>
      </w:hyperlink>
      <w:r w:rsidR="008F532F">
        <w:rPr>
          <w:rFonts w:asciiTheme="minorBidi" w:hAnsiTheme="minorBidi" w:cstheme="minorBidi"/>
          <w:spacing w:val="-2"/>
          <w:sz w:val="16"/>
          <w:szCs w:val="16"/>
        </w:rPr>
        <w:t xml:space="preserve"> </w:t>
      </w:r>
    </w:p>
    <w:p w14:paraId="18330E29" w14:textId="29D4F2B2"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Chandel A., Thakur M., Singh G. Flower regulation in floriculture: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an agronomic concept and commercial use. Journal of Plant</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Growth</w:t>
      </w:r>
      <w:r w:rsidR="008F532F">
        <w:rPr>
          <w:rFonts w:asciiTheme="minorBidi" w:hAnsiTheme="minorBidi" w:cstheme="minorBidi"/>
          <w:sz w:val="16"/>
          <w:szCs w:val="16"/>
        </w:rPr>
        <w:t xml:space="preserve"> </w:t>
      </w:r>
      <w:r w:rsidRPr="008F532F">
        <w:rPr>
          <w:rFonts w:asciiTheme="minorBidi" w:hAnsiTheme="minorBidi" w:cstheme="minorBidi"/>
          <w:spacing w:val="-2"/>
          <w:sz w:val="16"/>
          <w:szCs w:val="16"/>
        </w:rPr>
        <w:t>Regulation.</w:t>
      </w:r>
      <w:r w:rsidRPr="008F532F">
        <w:rPr>
          <w:rFonts w:asciiTheme="minorBidi" w:hAnsiTheme="minorBidi" w:cstheme="minorBidi"/>
          <w:sz w:val="16"/>
          <w:szCs w:val="16"/>
        </w:rPr>
        <w:tab/>
      </w:r>
      <w:r w:rsidRPr="008F532F">
        <w:rPr>
          <w:rFonts w:asciiTheme="minorBidi" w:hAnsiTheme="minorBidi" w:cstheme="minorBidi"/>
          <w:spacing w:val="-2"/>
          <w:sz w:val="16"/>
          <w:szCs w:val="16"/>
        </w:rPr>
        <w:t>2023;42(6):2136–2161.</w:t>
      </w:r>
      <w:r w:rsidR="00FF2F8D" w:rsidRPr="008F532F">
        <w:rPr>
          <w:rFonts w:asciiTheme="minorBidi" w:hAnsiTheme="minorBidi" w:cstheme="minorBidi"/>
          <w:spacing w:val="-4"/>
          <w:sz w:val="16"/>
          <w:szCs w:val="16"/>
        </w:rPr>
        <w:t xml:space="preserve"> </w:t>
      </w:r>
      <w:r w:rsidRPr="008F532F">
        <w:rPr>
          <w:rFonts w:asciiTheme="minorBidi" w:hAnsiTheme="minorBidi" w:cstheme="minorBidi"/>
          <w:spacing w:val="-4"/>
          <w:sz w:val="16"/>
          <w:szCs w:val="16"/>
        </w:rPr>
        <w:t>DOI:</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https://doi.org/10.1007/s00344-022-10688-0</w:t>
      </w:r>
    </w:p>
    <w:p w14:paraId="79B30C43"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Hasan M.M., Hasan M.M., Teixeira da Silva J.A., Li X. Regulation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of phosphorus uptake and utilization: transitioning from current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knowledge to practical strategies. Cellular and Molecular Biology</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Letters. 2016;21:7. DOI: https://doi.org/10.1186/s11658-016-0008-</w:t>
      </w:r>
      <w:r w:rsidRPr="008F532F">
        <w:rPr>
          <w:rFonts w:asciiTheme="minorBidi" w:hAnsiTheme="minorBidi" w:cstheme="minorBidi"/>
          <w:spacing w:val="40"/>
          <w:sz w:val="16"/>
          <w:szCs w:val="16"/>
        </w:rPr>
        <w:t xml:space="preserve"> </w:t>
      </w:r>
      <w:r w:rsidRPr="008F532F">
        <w:rPr>
          <w:rFonts w:asciiTheme="minorBidi" w:hAnsiTheme="minorBidi" w:cstheme="minorBidi"/>
          <w:spacing w:val="-10"/>
          <w:sz w:val="16"/>
          <w:szCs w:val="16"/>
        </w:rPr>
        <w:t>y</w:t>
      </w:r>
    </w:p>
    <w:p w14:paraId="64EA7095"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Kostin JE, Cesarz S, Lochner A, Schädler M, Macdonald CA,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Eisenhauer N. Land</w:t>
      </w:r>
      <w:r w:rsidRPr="008F532F">
        <w:rPr>
          <w:rFonts w:ascii="Cambria Math" w:hAnsi="Cambria Math" w:cs="Cambria Math"/>
          <w:sz w:val="16"/>
          <w:szCs w:val="16"/>
        </w:rPr>
        <w:t>‐</w:t>
      </w:r>
      <w:r w:rsidRPr="008F532F">
        <w:rPr>
          <w:rFonts w:asciiTheme="minorBidi" w:hAnsiTheme="minorBidi" w:cstheme="minorBidi"/>
          <w:sz w:val="16"/>
          <w:szCs w:val="16"/>
        </w:rPr>
        <w:t>use drives the temporal stability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magnitude of soil microbial functions and modulates climate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effects. Ecological Applications. </w:t>
      </w:r>
      <w:r w:rsidRPr="008F532F">
        <w:rPr>
          <w:rFonts w:asciiTheme="minorBidi" w:hAnsiTheme="minorBidi" w:cstheme="minorBidi"/>
          <w:sz w:val="16"/>
          <w:szCs w:val="16"/>
        </w:rPr>
        <w:lastRenderedPageBreak/>
        <w:t>2021;31(5):e02325. DOI:</w:t>
      </w:r>
      <w:r w:rsidRPr="008F532F">
        <w:rPr>
          <w:rFonts w:asciiTheme="minorBidi" w:hAnsiTheme="minorBidi" w:cstheme="minorBidi"/>
          <w:spacing w:val="40"/>
          <w:sz w:val="16"/>
          <w:szCs w:val="16"/>
        </w:rPr>
        <w:t xml:space="preserve"> </w:t>
      </w:r>
      <w:hyperlink r:id="rId39">
        <w:r w:rsidR="005A6EFD" w:rsidRPr="008F532F">
          <w:rPr>
            <w:rFonts w:asciiTheme="minorBidi" w:hAnsiTheme="minorBidi" w:cstheme="minorBidi"/>
            <w:color w:val="0000FF"/>
            <w:spacing w:val="-2"/>
            <w:sz w:val="16"/>
            <w:szCs w:val="16"/>
            <w:u w:val="single" w:color="0000FF"/>
          </w:rPr>
          <w:t>https://doi.org/10.1002/eap.2325</w:t>
        </w:r>
      </w:hyperlink>
    </w:p>
    <w:p w14:paraId="1126FC3C"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Rayne N., Aula L. Livestock manure and the impacts on soil</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health: a review. Soil Systems</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2020;4:64. DOI:</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https://doi.org/10.3390/soilsystems4040064</w:t>
      </w:r>
    </w:p>
    <w:p w14:paraId="6D50FED3"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b/>
          <w:sz w:val="16"/>
          <w:szCs w:val="16"/>
        </w:rPr>
      </w:pPr>
      <w:r w:rsidRPr="008F532F">
        <w:rPr>
          <w:rFonts w:asciiTheme="minorBidi" w:hAnsiTheme="minorBidi" w:cstheme="minorBidi"/>
          <w:sz w:val="16"/>
          <w:szCs w:val="16"/>
        </w:rPr>
        <w:t>Butler T.J., Han K.J., Muir J.P., Weindorf D.C., Lastly L. Dairy</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manure compost effects on corn silage production and soil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properties. Agronomy Journal</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2008;100:1541–1545. DOI:</w:t>
      </w:r>
      <w:r w:rsidRPr="008F532F">
        <w:rPr>
          <w:rFonts w:asciiTheme="minorBidi" w:hAnsiTheme="minorBidi" w:cstheme="minorBidi"/>
          <w:spacing w:val="40"/>
          <w:sz w:val="16"/>
          <w:szCs w:val="16"/>
        </w:rPr>
        <w:t xml:space="preserve"> </w:t>
      </w:r>
      <w:hyperlink r:id="rId40">
        <w:r w:rsidR="005A6EFD" w:rsidRPr="008F532F">
          <w:rPr>
            <w:rFonts w:asciiTheme="minorBidi" w:hAnsiTheme="minorBidi" w:cstheme="minorBidi"/>
            <w:color w:val="0000FF"/>
            <w:spacing w:val="-2"/>
            <w:sz w:val="16"/>
            <w:szCs w:val="16"/>
            <w:u w:val="single" w:color="0000FF"/>
          </w:rPr>
          <w:t>https://doi.org/10.2134/agronj2008.0033</w:t>
        </w:r>
      </w:hyperlink>
    </w:p>
    <w:p w14:paraId="3981D380"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Agbede T.M., Ojeniyi</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S.O., Adeyemo A.J. Effect of poultry manure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on soil physical and chemical properties, growth and grain yield of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sorghum in Southwest Nigeria. American-Eurasian Journal of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Sustainable Agriculture. 2008;2:72–77.</w:t>
      </w:r>
    </w:p>
    <w:p w14:paraId="449B9F87"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Busari M.A., Salako F.K., Adetunji M.T. Soil chemical properties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and maize yield after application of organic and inorganic</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amendments to an acidic soil in Southwestern Nigeria. Spanish</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Journal of Agricultural Research</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2008;6:691–699. DOI:</w:t>
      </w:r>
      <w:r w:rsidRPr="008F532F">
        <w:rPr>
          <w:rFonts w:asciiTheme="minorBidi" w:hAnsiTheme="minorBidi" w:cstheme="minorBidi"/>
          <w:spacing w:val="40"/>
          <w:sz w:val="16"/>
          <w:szCs w:val="16"/>
        </w:rPr>
        <w:t xml:space="preserve"> </w:t>
      </w:r>
      <w:hyperlink r:id="rId41">
        <w:r w:rsidR="005A6EFD" w:rsidRPr="008F532F">
          <w:rPr>
            <w:rFonts w:asciiTheme="minorBidi" w:hAnsiTheme="minorBidi" w:cstheme="minorBidi"/>
            <w:color w:val="0000FF"/>
            <w:spacing w:val="-2"/>
            <w:sz w:val="16"/>
            <w:szCs w:val="16"/>
            <w:u w:val="single" w:color="0000FF"/>
          </w:rPr>
          <w:t>https://doi.org/10.5424/sjar/2008064-362</w:t>
        </w:r>
      </w:hyperlink>
    </w:p>
    <w:p w14:paraId="2F028584" w14:textId="3CE479F6"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Assefa</w:t>
      </w:r>
      <w:r w:rsidRPr="008F532F">
        <w:rPr>
          <w:rFonts w:asciiTheme="minorBidi" w:hAnsiTheme="minorBidi" w:cstheme="minorBidi"/>
          <w:spacing w:val="-4"/>
          <w:sz w:val="16"/>
          <w:szCs w:val="16"/>
        </w:rPr>
        <w:t xml:space="preserve"> </w:t>
      </w:r>
      <w:r w:rsidRPr="008F532F">
        <w:rPr>
          <w:rFonts w:asciiTheme="minorBidi" w:hAnsiTheme="minorBidi" w:cstheme="minorBidi"/>
          <w:sz w:val="16"/>
          <w:szCs w:val="16"/>
        </w:rPr>
        <w:t>S.,</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Tadeses S.</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The principal</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role of organic fertiliser on soil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properties and agricultural productivity: a review. Agricultural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Research and Technology:</w:t>
      </w:r>
      <w:r w:rsidRPr="008F532F">
        <w:rPr>
          <w:rFonts w:asciiTheme="minorBidi" w:hAnsiTheme="minorBidi" w:cstheme="minorBidi"/>
          <w:spacing w:val="19"/>
          <w:sz w:val="16"/>
          <w:szCs w:val="16"/>
        </w:rPr>
        <w:t xml:space="preserve"> </w:t>
      </w:r>
      <w:r w:rsidRPr="008F532F">
        <w:rPr>
          <w:rFonts w:asciiTheme="minorBidi" w:hAnsiTheme="minorBidi" w:cstheme="minorBidi"/>
          <w:sz w:val="16"/>
          <w:szCs w:val="16"/>
        </w:rPr>
        <w:t>Open Access Journal</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2019;22(2):46–50.</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DOI:</w:t>
      </w:r>
      <w:r w:rsidRPr="008F532F">
        <w:rPr>
          <w:rFonts w:asciiTheme="minorBidi" w:hAnsiTheme="minorBidi" w:cstheme="minorBidi"/>
          <w:spacing w:val="-2"/>
          <w:sz w:val="16"/>
          <w:szCs w:val="16"/>
        </w:rPr>
        <w:t xml:space="preserve"> </w:t>
      </w:r>
      <w:hyperlink r:id="rId42" w:history="1">
        <w:r w:rsidR="008F532F" w:rsidRPr="006F3428">
          <w:rPr>
            <w:rStyle w:val="Hyperlink"/>
            <w:rFonts w:asciiTheme="minorBidi" w:hAnsiTheme="minorBidi" w:cstheme="minorBidi"/>
            <w:spacing w:val="-2"/>
            <w:sz w:val="16"/>
            <w:szCs w:val="16"/>
          </w:rPr>
          <w:t>https://doi.org/10.19080/ARTOAJ.2019.22.556192</w:t>
        </w:r>
      </w:hyperlink>
      <w:r w:rsidR="008F532F">
        <w:rPr>
          <w:rFonts w:asciiTheme="minorBidi" w:hAnsiTheme="minorBidi" w:cstheme="minorBidi"/>
          <w:spacing w:val="-2"/>
          <w:sz w:val="16"/>
          <w:szCs w:val="16"/>
        </w:rPr>
        <w:t xml:space="preserve"> </w:t>
      </w:r>
    </w:p>
    <w:p w14:paraId="4E1A074A" w14:textId="558DFD0E"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Mukamparirwa V., Maliondo S.M.S., Mugunga C.P. Synergistic</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and antagonistic effects of mixed-leaf litter decomposition on</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nutrient</w:t>
      </w:r>
      <w:r w:rsidR="008F532F">
        <w:rPr>
          <w:rFonts w:asciiTheme="minorBidi" w:hAnsiTheme="minorBidi" w:cstheme="minorBidi"/>
          <w:sz w:val="16"/>
          <w:szCs w:val="16"/>
        </w:rPr>
        <w:t xml:space="preserve"> </w:t>
      </w:r>
      <w:r w:rsidRPr="008F532F">
        <w:rPr>
          <w:rFonts w:asciiTheme="minorBidi" w:hAnsiTheme="minorBidi" w:cstheme="minorBidi"/>
          <w:spacing w:val="-2"/>
          <w:sz w:val="16"/>
          <w:szCs w:val="16"/>
        </w:rPr>
        <w:t>cycling.</w:t>
      </w:r>
      <w:r w:rsidR="008F532F">
        <w:rPr>
          <w:rFonts w:asciiTheme="minorBidi" w:hAnsiTheme="minorBidi" w:cstheme="minorBidi"/>
          <w:sz w:val="16"/>
          <w:szCs w:val="16"/>
        </w:rPr>
        <w:t xml:space="preserve"> </w:t>
      </w:r>
      <w:r w:rsidRPr="008F532F">
        <w:rPr>
          <w:rFonts w:asciiTheme="minorBidi" w:hAnsiTheme="minorBidi" w:cstheme="minorBidi"/>
          <w:spacing w:val="-2"/>
          <w:sz w:val="16"/>
          <w:szCs w:val="16"/>
        </w:rPr>
        <w:t>Plants</w:t>
      </w:r>
      <w:r w:rsidRPr="008F532F">
        <w:rPr>
          <w:rFonts w:asciiTheme="minorBidi" w:hAnsiTheme="minorBidi" w:cstheme="minorBidi"/>
          <w:i/>
          <w:spacing w:val="-2"/>
          <w:sz w:val="16"/>
          <w:szCs w:val="16"/>
        </w:rPr>
        <w:t>.</w:t>
      </w:r>
      <w:r w:rsidR="008F532F">
        <w:rPr>
          <w:rFonts w:asciiTheme="minorBidi" w:hAnsiTheme="minorBidi" w:cstheme="minorBidi"/>
          <w:i/>
          <w:sz w:val="16"/>
          <w:szCs w:val="16"/>
        </w:rPr>
        <w:t xml:space="preserve"> </w:t>
      </w:r>
      <w:r w:rsidRPr="008F532F">
        <w:rPr>
          <w:rFonts w:asciiTheme="minorBidi" w:hAnsiTheme="minorBidi" w:cstheme="minorBidi"/>
          <w:spacing w:val="-2"/>
          <w:sz w:val="16"/>
          <w:szCs w:val="16"/>
        </w:rPr>
        <w:t>2024;13:3204.</w:t>
      </w:r>
      <w:r w:rsidRPr="008F532F">
        <w:rPr>
          <w:rFonts w:asciiTheme="minorBidi" w:hAnsiTheme="minorBidi" w:cstheme="minorBidi"/>
          <w:spacing w:val="40"/>
          <w:sz w:val="16"/>
          <w:szCs w:val="16"/>
        </w:rPr>
        <w:t xml:space="preserve"> </w:t>
      </w:r>
      <w:hyperlink r:id="rId43" w:history="1">
        <w:r w:rsidR="008F532F" w:rsidRPr="006F3428">
          <w:rPr>
            <w:rStyle w:val="Hyperlink"/>
            <w:rFonts w:asciiTheme="minorBidi" w:hAnsiTheme="minorBidi" w:cstheme="minorBidi"/>
            <w:spacing w:val="-2"/>
            <w:sz w:val="16"/>
            <w:szCs w:val="16"/>
          </w:rPr>
          <w:t>https://doi.org/10.3390/plants13223204</w:t>
        </w:r>
      </w:hyperlink>
      <w:r w:rsidR="008F532F">
        <w:rPr>
          <w:rFonts w:asciiTheme="minorBidi" w:hAnsiTheme="minorBidi" w:cstheme="minorBidi"/>
          <w:spacing w:val="-2"/>
          <w:sz w:val="16"/>
          <w:szCs w:val="16"/>
        </w:rPr>
        <w:t xml:space="preserve"> </w:t>
      </w:r>
    </w:p>
    <w:p w14:paraId="4265E1C5"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Szpak E., Millaire P., White J.-F., Christine D., Longstaffe F.J.</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Influence of seabird guano and camelid dung fertilization on the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nitrogen isotopic composition of field-grown maize (</w:t>
      </w:r>
      <w:r w:rsidRPr="008F532F">
        <w:rPr>
          <w:rFonts w:asciiTheme="minorBidi" w:hAnsiTheme="minorBidi" w:cstheme="minorBidi"/>
          <w:i/>
          <w:sz w:val="16"/>
          <w:szCs w:val="16"/>
        </w:rPr>
        <w:t>Zea mays</w:t>
      </w:r>
      <w:r w:rsidRPr="008F532F">
        <w:rPr>
          <w:rFonts w:asciiTheme="minorBidi" w:hAnsiTheme="minorBidi" w:cstheme="minorBidi"/>
          <w:sz w:val="16"/>
          <w:szCs w:val="16"/>
        </w:rPr>
        <w: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Journal of Archaeological Science</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2012;39(12):3721–3740. DOI:</w:t>
      </w:r>
      <w:r w:rsidRPr="008F532F">
        <w:rPr>
          <w:rFonts w:asciiTheme="minorBidi" w:hAnsiTheme="minorBidi" w:cstheme="minorBidi"/>
          <w:spacing w:val="40"/>
          <w:sz w:val="16"/>
          <w:szCs w:val="16"/>
        </w:rPr>
        <w:t xml:space="preserve"> </w:t>
      </w:r>
      <w:hyperlink r:id="rId44">
        <w:r w:rsidR="005A6EFD" w:rsidRPr="008F532F">
          <w:rPr>
            <w:rFonts w:asciiTheme="minorBidi" w:hAnsiTheme="minorBidi" w:cstheme="minorBidi"/>
            <w:color w:val="0000FF"/>
            <w:spacing w:val="-2"/>
            <w:sz w:val="16"/>
            <w:szCs w:val="16"/>
            <w:u w:val="single" w:color="0000FF"/>
          </w:rPr>
          <w:t>https://doi.org/10.1016/j.jas.2012.06.035</w:t>
        </w:r>
      </w:hyperlink>
    </w:p>
    <w:p w14:paraId="791211D7"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Al-Salhi A, Al-Shatty S, Al-Imara E, Al-Rikabi A. Manufacturing 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bacterial starter and a digital bio fermenter to treat poultry manure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and produce methane gas, CH</w:t>
      </w:r>
      <w:r w:rsidRPr="008F532F">
        <w:rPr>
          <w:rFonts w:ascii="Cambria Math" w:hAnsi="Cambria Math" w:cs="Cambria Math"/>
          <w:sz w:val="16"/>
          <w:szCs w:val="16"/>
        </w:rPr>
        <w:t>₄</w:t>
      </w:r>
      <w:r w:rsidRPr="008F532F">
        <w:rPr>
          <w:rFonts w:asciiTheme="minorBidi" w:hAnsiTheme="minorBidi" w:cstheme="minorBidi"/>
          <w:sz w:val="16"/>
          <w:szCs w:val="16"/>
        </w:rPr>
        <w:t>. AnNajah Univ J Res A (Nat Sci).</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2025;39(3). DOI: https://doi.org/10.35552/anujr.a.39.3.2696</w:t>
      </w:r>
    </w:p>
    <w:p w14:paraId="46E86A22"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Ding Y., Gao X., Shu D., Siddique K.H.M., Song X., Wu P., Li C.,</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Zhao X. Enhancing soil health and nutrient cycling through soil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amendments:</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improving</w:t>
      </w:r>
      <w:r w:rsidRPr="008F532F">
        <w:rPr>
          <w:rFonts w:asciiTheme="minorBidi" w:hAnsiTheme="minorBidi" w:cstheme="minorBidi"/>
          <w:spacing w:val="-4"/>
          <w:sz w:val="16"/>
          <w:szCs w:val="16"/>
        </w:rPr>
        <w:t xml:space="preserve"> </w:t>
      </w:r>
      <w:r w:rsidRPr="008F532F">
        <w:rPr>
          <w:rFonts w:asciiTheme="minorBidi" w:hAnsiTheme="minorBidi" w:cstheme="minorBidi"/>
          <w:sz w:val="16"/>
          <w:szCs w:val="16"/>
        </w:rPr>
        <w:t>the</w:t>
      </w:r>
      <w:r w:rsidRPr="008F532F">
        <w:rPr>
          <w:rFonts w:asciiTheme="minorBidi" w:hAnsiTheme="minorBidi" w:cstheme="minorBidi"/>
          <w:spacing w:val="-4"/>
          <w:sz w:val="16"/>
          <w:szCs w:val="16"/>
        </w:rPr>
        <w:t xml:space="preserve"> </w:t>
      </w:r>
      <w:r w:rsidRPr="008F532F">
        <w:rPr>
          <w:rFonts w:asciiTheme="minorBidi" w:hAnsiTheme="minorBidi" w:cstheme="minorBidi"/>
          <w:sz w:val="16"/>
          <w:szCs w:val="16"/>
        </w:rPr>
        <w:t>synergy</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of</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bacteria</w:t>
      </w:r>
      <w:r w:rsidRPr="008F532F">
        <w:rPr>
          <w:rFonts w:asciiTheme="minorBidi" w:hAnsiTheme="minorBidi" w:cstheme="minorBidi"/>
          <w:spacing w:val="-4"/>
          <w:sz w:val="16"/>
          <w:szCs w:val="16"/>
        </w:rPr>
        <w:t xml:space="preserve"> </w:t>
      </w:r>
      <w:r w:rsidRPr="008F532F">
        <w:rPr>
          <w:rFonts w:asciiTheme="minorBidi" w:hAnsiTheme="minorBidi" w:cstheme="minorBidi"/>
          <w:sz w:val="16"/>
          <w:szCs w:val="16"/>
        </w:rPr>
        <w:t>and</w:t>
      </w:r>
      <w:r w:rsidRPr="008F532F">
        <w:rPr>
          <w:rFonts w:asciiTheme="minorBidi" w:hAnsiTheme="minorBidi" w:cstheme="minorBidi"/>
          <w:spacing w:val="-4"/>
          <w:sz w:val="16"/>
          <w:szCs w:val="16"/>
        </w:rPr>
        <w:t xml:space="preserve"> </w:t>
      </w:r>
      <w:r w:rsidRPr="008F532F">
        <w:rPr>
          <w:rFonts w:asciiTheme="minorBidi" w:hAnsiTheme="minorBidi" w:cstheme="minorBidi"/>
          <w:sz w:val="16"/>
          <w:szCs w:val="16"/>
        </w:rPr>
        <w:t>fungi. Science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of the Total Environment</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2024;923:171332. DOI:</w:t>
      </w:r>
      <w:r w:rsidRPr="008F532F">
        <w:rPr>
          <w:rFonts w:asciiTheme="minorBidi" w:hAnsiTheme="minorBidi" w:cstheme="minorBidi"/>
          <w:spacing w:val="40"/>
          <w:sz w:val="16"/>
          <w:szCs w:val="16"/>
        </w:rPr>
        <w:t xml:space="preserve"> </w:t>
      </w:r>
      <w:hyperlink r:id="rId45">
        <w:r w:rsidR="005A6EFD" w:rsidRPr="008F532F">
          <w:rPr>
            <w:rFonts w:asciiTheme="minorBidi" w:hAnsiTheme="minorBidi" w:cstheme="minorBidi"/>
            <w:color w:val="0000FF"/>
            <w:spacing w:val="-2"/>
            <w:sz w:val="16"/>
            <w:szCs w:val="16"/>
            <w:u w:val="single" w:color="0000FF"/>
          </w:rPr>
          <w:t>https://doi.org/10.1016/j.scitotenv.2024.171332</w:t>
        </w:r>
      </w:hyperlink>
    </w:p>
    <w:p w14:paraId="70C70A0D"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Hughes N. M., Neufeld H. S., Burkey K. O. Functional role of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anthocyanins in high</w:t>
      </w:r>
      <w:r w:rsidRPr="008F532F">
        <w:rPr>
          <w:rFonts w:ascii="Cambria Math" w:hAnsi="Cambria Math" w:cs="Cambria Math"/>
          <w:sz w:val="16"/>
          <w:szCs w:val="16"/>
        </w:rPr>
        <w:t>‐</w:t>
      </w:r>
      <w:r w:rsidRPr="008F532F">
        <w:rPr>
          <w:rFonts w:asciiTheme="minorBidi" w:hAnsiTheme="minorBidi" w:cstheme="minorBidi"/>
          <w:sz w:val="16"/>
          <w:szCs w:val="16"/>
        </w:rPr>
        <w:t>light winter leaves of the evergreen herb</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Galax urceolata. New Phytologist. 2005; </w:t>
      </w:r>
      <w:r w:rsidRPr="008F532F">
        <w:rPr>
          <w:rFonts w:asciiTheme="minorBidi" w:hAnsiTheme="minorBidi" w:cstheme="minorBidi"/>
          <w:i/>
          <w:sz w:val="16"/>
          <w:szCs w:val="16"/>
        </w:rPr>
        <w:t>168</w:t>
      </w:r>
      <w:r w:rsidRPr="008F532F">
        <w:rPr>
          <w:rFonts w:asciiTheme="minorBidi" w:hAnsiTheme="minorBidi" w:cstheme="minorBidi"/>
          <w:sz w:val="16"/>
          <w:szCs w:val="16"/>
        </w:rPr>
        <w:t>(3): 575-587.</w:t>
      </w:r>
    </w:p>
    <w:p w14:paraId="0F34F528" w14:textId="5EE5BE7B"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Hasanuzzaman M., Nowroz F., Raihan M.R.H., Siddika A., Alam</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M.M., Prasad P.V.V. Application of biochar and humic acid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improves the physiological and biochemical processes of rice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w:t>
      </w:r>
      <w:r w:rsidRPr="008F532F">
        <w:rPr>
          <w:rFonts w:asciiTheme="minorBidi" w:hAnsiTheme="minorBidi" w:cstheme="minorBidi"/>
          <w:i/>
          <w:sz w:val="16"/>
          <w:szCs w:val="16"/>
        </w:rPr>
        <w:t xml:space="preserve">Oryza sativa </w:t>
      </w:r>
      <w:r w:rsidRPr="008F532F">
        <w:rPr>
          <w:rFonts w:asciiTheme="minorBidi" w:hAnsiTheme="minorBidi" w:cstheme="minorBidi"/>
          <w:sz w:val="16"/>
          <w:szCs w:val="16"/>
        </w:rPr>
        <w:t>L.) in conferring plant tolerance to arsenic-induced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oxidative stress. Environmental Science and Pollution Research</w:t>
      </w:r>
      <w:r w:rsidRPr="008F532F">
        <w:rPr>
          <w:rFonts w:asciiTheme="minorBidi" w:hAnsiTheme="minorBidi" w:cstheme="minorBidi"/>
          <w:i/>
          <w:sz w:val="16"/>
          <w:szCs w:val="16"/>
        </w:rPr>
        <w:t>.</w:t>
      </w:r>
      <w:r w:rsidRPr="008F532F">
        <w:rPr>
          <w:rFonts w:asciiTheme="minorBidi" w:hAnsiTheme="minorBidi" w:cstheme="minorBidi"/>
          <w:i/>
          <w:spacing w:val="40"/>
          <w:sz w:val="16"/>
          <w:szCs w:val="16"/>
        </w:rPr>
        <w:t xml:space="preserve"> </w:t>
      </w:r>
      <w:r w:rsidRPr="008F532F">
        <w:rPr>
          <w:rFonts w:asciiTheme="minorBidi" w:hAnsiTheme="minorBidi" w:cstheme="minorBidi"/>
          <w:sz w:val="16"/>
          <w:szCs w:val="16"/>
        </w:rPr>
        <w:t>2024;31(1):1562–1575.</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DOI:</w:t>
      </w:r>
      <w:r w:rsidRPr="008F532F">
        <w:rPr>
          <w:rFonts w:asciiTheme="minorBidi" w:hAnsiTheme="minorBidi" w:cstheme="minorBidi"/>
          <w:spacing w:val="40"/>
          <w:sz w:val="16"/>
          <w:szCs w:val="16"/>
        </w:rPr>
        <w:t xml:space="preserve"> </w:t>
      </w:r>
      <w:hyperlink r:id="rId46" w:history="1">
        <w:r w:rsidR="008F532F" w:rsidRPr="006F3428">
          <w:rPr>
            <w:rStyle w:val="Hyperlink"/>
            <w:rFonts w:asciiTheme="minorBidi" w:hAnsiTheme="minorBidi" w:cstheme="minorBidi"/>
            <w:sz w:val="16"/>
            <w:szCs w:val="16"/>
          </w:rPr>
          <w:t>https://doi.org/10.1007/s11356-023-</w:t>
        </w:r>
        <w:r w:rsidR="008F532F" w:rsidRPr="006F3428">
          <w:rPr>
            <w:rStyle w:val="Hyperlink"/>
            <w:rFonts w:asciiTheme="minorBidi" w:hAnsiTheme="minorBidi" w:cstheme="minorBidi"/>
            <w:spacing w:val="-2"/>
            <w:sz w:val="16"/>
            <w:szCs w:val="16"/>
          </w:rPr>
          <w:t>31119-</w:t>
        </w:r>
        <w:r w:rsidR="008F532F" w:rsidRPr="006F3428">
          <w:rPr>
            <w:rStyle w:val="Hyperlink"/>
            <w:rFonts w:asciiTheme="minorBidi" w:hAnsiTheme="minorBidi" w:cstheme="minorBidi"/>
            <w:spacing w:val="-10"/>
            <w:sz w:val="16"/>
            <w:szCs w:val="16"/>
          </w:rPr>
          <w:t>x</w:t>
        </w:r>
      </w:hyperlink>
      <w:r w:rsidR="008F532F">
        <w:rPr>
          <w:rFonts w:asciiTheme="minorBidi" w:hAnsiTheme="minorBidi" w:cstheme="minorBidi"/>
          <w:spacing w:val="-10"/>
          <w:sz w:val="16"/>
          <w:szCs w:val="16"/>
        </w:rPr>
        <w:t xml:space="preserve"> </w:t>
      </w:r>
    </w:p>
    <w:p w14:paraId="0DAD4EE6" w14:textId="504661C9"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Faňanás-Pueyo I., Carrera-Castaño G., Pernas M., Oñate-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Sánchez L. Signalling and regulation of plant development by</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carbon/nitrogen</w:t>
      </w:r>
      <w:r w:rsidRPr="008F532F">
        <w:rPr>
          <w:rFonts w:asciiTheme="minorBidi" w:hAnsiTheme="minorBidi" w:cstheme="minorBidi"/>
          <w:sz w:val="16"/>
          <w:szCs w:val="16"/>
        </w:rPr>
        <w:tab/>
      </w:r>
      <w:r w:rsidRPr="008F532F">
        <w:rPr>
          <w:rFonts w:asciiTheme="minorBidi" w:hAnsiTheme="minorBidi" w:cstheme="minorBidi"/>
          <w:spacing w:val="-2"/>
          <w:sz w:val="16"/>
          <w:szCs w:val="16"/>
        </w:rPr>
        <w:t>balance.</w:t>
      </w:r>
      <w:r w:rsidR="008F532F">
        <w:rPr>
          <w:rFonts w:asciiTheme="minorBidi" w:hAnsiTheme="minorBidi" w:cstheme="minorBidi"/>
          <w:sz w:val="16"/>
          <w:szCs w:val="16"/>
        </w:rPr>
        <w:t xml:space="preserve"> </w:t>
      </w:r>
      <w:r w:rsidRPr="008F532F">
        <w:rPr>
          <w:rFonts w:asciiTheme="minorBidi" w:hAnsiTheme="minorBidi" w:cstheme="minorBidi"/>
          <w:spacing w:val="-2"/>
          <w:sz w:val="16"/>
          <w:szCs w:val="16"/>
        </w:rPr>
        <w:t>Physiologia</w:t>
      </w:r>
      <w:r w:rsidR="008F532F">
        <w:rPr>
          <w:rFonts w:asciiTheme="minorBidi" w:hAnsiTheme="minorBidi" w:cstheme="minorBidi"/>
          <w:sz w:val="16"/>
          <w:szCs w:val="16"/>
        </w:rPr>
        <w:t xml:space="preserve"> </w:t>
      </w:r>
      <w:r w:rsidRPr="008F532F">
        <w:rPr>
          <w:rFonts w:asciiTheme="minorBidi" w:hAnsiTheme="minorBidi" w:cstheme="minorBidi"/>
          <w:spacing w:val="-2"/>
          <w:sz w:val="16"/>
          <w:szCs w:val="16"/>
        </w:rPr>
        <w:t>Plantarum</w:t>
      </w:r>
      <w:r w:rsidRPr="008F532F">
        <w:rPr>
          <w:rFonts w:asciiTheme="minorBidi" w:hAnsiTheme="minorBidi" w:cstheme="minorBidi"/>
          <w:i/>
          <w:spacing w:val="-2"/>
          <w:sz w:val="16"/>
          <w:szCs w:val="16"/>
        </w:rPr>
        <w:t>.</w:t>
      </w:r>
      <w:r w:rsidRPr="008F532F">
        <w:rPr>
          <w:rFonts w:asciiTheme="minorBidi" w:hAnsiTheme="minorBidi" w:cstheme="minorBidi"/>
          <w:i/>
          <w:spacing w:val="40"/>
          <w:sz w:val="16"/>
          <w:szCs w:val="16"/>
        </w:rPr>
        <w:t xml:space="preserve"> </w:t>
      </w:r>
      <w:r w:rsidRPr="008F532F">
        <w:rPr>
          <w:rFonts w:asciiTheme="minorBidi" w:hAnsiTheme="minorBidi" w:cstheme="minorBidi"/>
          <w:sz w:val="16"/>
          <w:szCs w:val="16"/>
        </w:rPr>
        <w:t>2025;177(2):e70228. DOI: https://doi.org/10.1111/ppl.70228</w:t>
      </w:r>
    </w:p>
    <w:p w14:paraId="5EEFCDEB"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 xml:space="preserve">Munns R. Tester M. Mechanisms of salinity tolerance. </w:t>
      </w:r>
      <w:r w:rsidRPr="008F532F">
        <w:rPr>
          <w:rFonts w:asciiTheme="minorBidi" w:hAnsiTheme="minorBidi" w:cstheme="minorBidi"/>
          <w:sz w:val="16"/>
          <w:szCs w:val="16"/>
        </w:rPr>
        <w:lastRenderedPageBreak/>
        <w:t>Annual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Review of Plant Biology</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2008;59:651–681. DOI:</w:t>
      </w:r>
      <w:r w:rsidRPr="008F532F">
        <w:rPr>
          <w:rFonts w:asciiTheme="minorBidi" w:hAnsiTheme="minorBidi" w:cstheme="minorBidi"/>
          <w:spacing w:val="40"/>
          <w:sz w:val="16"/>
          <w:szCs w:val="16"/>
        </w:rPr>
        <w:t xml:space="preserve"> </w:t>
      </w:r>
      <w:hyperlink r:id="rId47">
        <w:r w:rsidR="005A6EFD" w:rsidRPr="008F532F">
          <w:rPr>
            <w:rFonts w:asciiTheme="minorBidi" w:hAnsiTheme="minorBidi" w:cstheme="minorBidi"/>
            <w:color w:val="0000FF"/>
            <w:spacing w:val="-2"/>
            <w:sz w:val="16"/>
            <w:szCs w:val="16"/>
            <w:u w:val="single" w:color="0000FF"/>
          </w:rPr>
          <w:t>https://doi.org/10.1146/annurev.arplant.59.032607.092911</w:t>
        </w:r>
      </w:hyperlink>
    </w:p>
    <w:p w14:paraId="297D9F94" w14:textId="16F4AD38"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Rajasekaran L.R., Blake T.J. New plant growth regulators protect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photosynthesis and enhance growth under drought of jack pine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seedlings.</w:t>
      </w:r>
      <w:r w:rsidRPr="008F532F">
        <w:rPr>
          <w:rFonts w:asciiTheme="minorBidi" w:hAnsiTheme="minorBidi" w:cstheme="minorBidi"/>
          <w:spacing w:val="35"/>
          <w:sz w:val="16"/>
          <w:szCs w:val="16"/>
        </w:rPr>
        <w:t xml:space="preserve"> </w:t>
      </w:r>
      <w:r w:rsidRPr="008F532F">
        <w:rPr>
          <w:rFonts w:asciiTheme="minorBidi" w:hAnsiTheme="minorBidi" w:cstheme="minorBidi"/>
          <w:sz w:val="16"/>
          <w:szCs w:val="16"/>
        </w:rPr>
        <w:t>Journal</w:t>
      </w:r>
      <w:r w:rsidRPr="008F532F">
        <w:rPr>
          <w:rFonts w:asciiTheme="minorBidi" w:hAnsiTheme="minorBidi" w:cstheme="minorBidi"/>
          <w:spacing w:val="34"/>
          <w:sz w:val="16"/>
          <w:szCs w:val="16"/>
        </w:rPr>
        <w:t xml:space="preserve"> </w:t>
      </w:r>
      <w:r w:rsidRPr="008F532F">
        <w:rPr>
          <w:rFonts w:asciiTheme="minorBidi" w:hAnsiTheme="minorBidi" w:cstheme="minorBidi"/>
          <w:sz w:val="16"/>
          <w:szCs w:val="16"/>
        </w:rPr>
        <w:t>of</w:t>
      </w:r>
      <w:r w:rsidRPr="008F532F">
        <w:rPr>
          <w:rFonts w:asciiTheme="minorBidi" w:hAnsiTheme="minorBidi" w:cstheme="minorBidi"/>
          <w:spacing w:val="38"/>
          <w:sz w:val="16"/>
          <w:szCs w:val="16"/>
        </w:rPr>
        <w:t xml:space="preserve"> </w:t>
      </w:r>
      <w:r w:rsidRPr="008F532F">
        <w:rPr>
          <w:rFonts w:asciiTheme="minorBidi" w:hAnsiTheme="minorBidi" w:cstheme="minorBidi"/>
          <w:sz w:val="16"/>
          <w:szCs w:val="16"/>
        </w:rPr>
        <w:t>Plant</w:t>
      </w:r>
      <w:r w:rsidRPr="008F532F">
        <w:rPr>
          <w:rFonts w:asciiTheme="minorBidi" w:hAnsiTheme="minorBidi" w:cstheme="minorBidi"/>
          <w:spacing w:val="34"/>
          <w:sz w:val="16"/>
          <w:szCs w:val="16"/>
        </w:rPr>
        <w:t xml:space="preserve"> </w:t>
      </w:r>
      <w:r w:rsidRPr="008F532F">
        <w:rPr>
          <w:rFonts w:asciiTheme="minorBidi" w:hAnsiTheme="minorBidi" w:cstheme="minorBidi"/>
          <w:sz w:val="16"/>
          <w:szCs w:val="16"/>
        </w:rPr>
        <w:t>Growth</w:t>
      </w:r>
      <w:r w:rsidRPr="008F532F">
        <w:rPr>
          <w:rFonts w:asciiTheme="minorBidi" w:hAnsiTheme="minorBidi" w:cstheme="minorBidi"/>
          <w:spacing w:val="31"/>
          <w:sz w:val="16"/>
          <w:szCs w:val="16"/>
        </w:rPr>
        <w:t xml:space="preserve"> </w:t>
      </w:r>
      <w:r w:rsidRPr="008F532F">
        <w:rPr>
          <w:rFonts w:asciiTheme="minorBidi" w:hAnsiTheme="minorBidi" w:cstheme="minorBidi"/>
          <w:sz w:val="16"/>
          <w:szCs w:val="16"/>
        </w:rPr>
        <w:t>Regulation</w:t>
      </w:r>
      <w:r w:rsidRPr="008F532F">
        <w:rPr>
          <w:rFonts w:asciiTheme="minorBidi" w:hAnsiTheme="minorBidi" w:cstheme="minorBidi"/>
          <w:i/>
          <w:sz w:val="16"/>
          <w:szCs w:val="16"/>
        </w:rPr>
        <w:t>.</w:t>
      </w:r>
      <w:r w:rsidRPr="008F532F">
        <w:rPr>
          <w:rFonts w:asciiTheme="minorBidi" w:hAnsiTheme="minorBidi" w:cstheme="minorBidi"/>
          <w:i/>
          <w:spacing w:val="36"/>
          <w:sz w:val="16"/>
          <w:szCs w:val="16"/>
        </w:rPr>
        <w:t xml:space="preserve"> </w:t>
      </w:r>
      <w:r w:rsidRPr="008F532F">
        <w:rPr>
          <w:rFonts w:asciiTheme="minorBidi" w:hAnsiTheme="minorBidi" w:cstheme="minorBidi"/>
          <w:sz w:val="16"/>
          <w:szCs w:val="16"/>
        </w:rPr>
        <w:t>1999;18(4):175–</w:t>
      </w:r>
      <w:r w:rsidR="008F532F">
        <w:rPr>
          <w:rFonts w:asciiTheme="minorBidi" w:hAnsiTheme="minorBidi" w:cstheme="minorBidi"/>
          <w:sz w:val="16"/>
          <w:szCs w:val="16"/>
        </w:rPr>
        <w:t xml:space="preserve"> </w:t>
      </w:r>
      <w:r w:rsidRPr="008F532F">
        <w:rPr>
          <w:rFonts w:asciiTheme="minorBidi" w:hAnsiTheme="minorBidi" w:cstheme="minorBidi"/>
          <w:sz w:val="16"/>
          <w:szCs w:val="16"/>
        </w:rPr>
        <w:t>181.</w:t>
      </w:r>
      <w:r w:rsidRPr="008F532F">
        <w:rPr>
          <w:rFonts w:asciiTheme="minorBidi" w:hAnsiTheme="minorBidi" w:cstheme="minorBidi"/>
          <w:spacing w:val="-4"/>
          <w:sz w:val="16"/>
          <w:szCs w:val="16"/>
        </w:rPr>
        <w:t xml:space="preserve"> </w:t>
      </w:r>
      <w:r w:rsidRPr="008F532F">
        <w:rPr>
          <w:rFonts w:asciiTheme="minorBidi" w:hAnsiTheme="minorBidi" w:cstheme="minorBidi"/>
          <w:sz w:val="16"/>
          <w:szCs w:val="16"/>
        </w:rPr>
        <w:t>DOI:</w:t>
      </w:r>
      <w:r w:rsidRPr="008F532F">
        <w:rPr>
          <w:rFonts w:asciiTheme="minorBidi" w:hAnsiTheme="minorBidi" w:cstheme="minorBidi"/>
          <w:spacing w:val="-3"/>
          <w:sz w:val="16"/>
          <w:szCs w:val="16"/>
        </w:rPr>
        <w:t xml:space="preserve"> </w:t>
      </w:r>
      <w:r w:rsidRPr="008F532F">
        <w:rPr>
          <w:rFonts w:asciiTheme="minorBidi" w:hAnsiTheme="minorBidi" w:cstheme="minorBidi"/>
          <w:spacing w:val="-2"/>
          <w:sz w:val="16"/>
          <w:szCs w:val="16"/>
        </w:rPr>
        <w:t>https://doi.org/10.1007/PL00007067</w:t>
      </w:r>
    </w:p>
    <w:p w14:paraId="1B150331"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Cucu M.A., Choudhary R., Trkulja V., Garg S., Matić S. Utilizing</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environmentally friendly techniques for the sustainable control of</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plant pathogens: a review. Agronomy</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2025;15:1551. DOI:</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https://doi.org/10.3390/agronomy15071551</w:t>
      </w:r>
    </w:p>
    <w:p w14:paraId="7232E75F" w14:textId="748A64C8"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Holatko J., Hammerschmiedt T., Latal O., Kintl A., Mustafa 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Baltazar T., Malicek O., Brtnicky M. Deciphering the effectiveness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of humic substances and biochar-modified digestates on soil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quality and plant biomass accumulation. Agronomy</w:t>
      </w:r>
      <w:r w:rsidRPr="008F532F">
        <w:rPr>
          <w:rFonts w:asciiTheme="minorBidi" w:hAnsiTheme="minorBidi" w:cstheme="minorBidi"/>
          <w:i/>
          <w:sz w:val="16"/>
          <w:szCs w:val="16"/>
        </w:rPr>
        <w:t>.</w:t>
      </w:r>
      <w:r w:rsidRPr="008F532F">
        <w:rPr>
          <w:rFonts w:asciiTheme="minorBidi" w:hAnsiTheme="minorBidi" w:cstheme="minorBidi"/>
          <w:i/>
          <w:spacing w:val="40"/>
          <w:sz w:val="16"/>
          <w:szCs w:val="16"/>
        </w:rPr>
        <w:t xml:space="preserve"> </w:t>
      </w:r>
      <w:r w:rsidRPr="008F532F">
        <w:rPr>
          <w:rFonts w:asciiTheme="minorBidi" w:hAnsiTheme="minorBidi" w:cstheme="minorBidi"/>
          <w:sz w:val="16"/>
          <w:szCs w:val="16"/>
        </w:rPr>
        <w:t xml:space="preserve">2022;12(7):1587. DOI: </w:t>
      </w:r>
      <w:hyperlink r:id="rId48" w:history="1">
        <w:r w:rsidR="008F532F" w:rsidRPr="006F3428">
          <w:rPr>
            <w:rStyle w:val="Hyperlink"/>
            <w:rFonts w:asciiTheme="minorBidi" w:hAnsiTheme="minorBidi" w:cstheme="minorBidi"/>
            <w:sz w:val="16"/>
            <w:szCs w:val="16"/>
          </w:rPr>
          <w:t>https://doi.org/10.3390/agronomy12071587</w:t>
        </w:r>
      </w:hyperlink>
      <w:r w:rsidR="008F532F">
        <w:rPr>
          <w:rFonts w:asciiTheme="minorBidi" w:hAnsiTheme="minorBidi" w:cstheme="minorBidi"/>
          <w:sz w:val="16"/>
          <w:szCs w:val="16"/>
        </w:rPr>
        <w:t xml:space="preserve"> </w:t>
      </w:r>
    </w:p>
    <w:p w14:paraId="120A87ED" w14:textId="3028FC2D"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He D., Luo Y., Zhu B. Feedstock and pyrolysis temperature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influence</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biochar</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properties</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and</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its</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interactions</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with</w:t>
      </w:r>
      <w:r w:rsidRPr="008F532F">
        <w:rPr>
          <w:rFonts w:asciiTheme="minorBidi" w:hAnsiTheme="minorBidi" w:cstheme="minorBidi"/>
          <w:spacing w:val="80"/>
          <w:sz w:val="16"/>
          <w:szCs w:val="16"/>
        </w:rPr>
        <w:t xml:space="preserve"> </w:t>
      </w:r>
      <w:r w:rsidRPr="008F532F">
        <w:rPr>
          <w:rFonts w:asciiTheme="minorBidi" w:hAnsiTheme="minorBidi" w:cstheme="minorBidi"/>
          <w:sz w:val="16"/>
          <w:szCs w:val="16"/>
        </w:rPr>
        <w:t>soil</w:t>
      </w:r>
      <w:r w:rsidR="008F532F" w:rsidRPr="008F532F">
        <w:rPr>
          <w:rFonts w:asciiTheme="minorBidi" w:hAnsiTheme="minorBidi" w:cstheme="minorBidi"/>
          <w:sz w:val="16"/>
          <w:szCs w:val="16"/>
        </w:rPr>
        <w:t xml:space="preserve"> </w:t>
      </w:r>
      <w:r w:rsidRPr="008F532F">
        <w:rPr>
          <w:rFonts w:asciiTheme="minorBidi" w:hAnsiTheme="minorBidi" w:cstheme="minorBidi"/>
          <w:sz w:val="16"/>
          <w:szCs w:val="16"/>
        </w:rPr>
        <w:t>substances: insights from a DFT calculation. Science of the Total</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Environment.</w:t>
      </w:r>
      <w:r w:rsidR="008F532F">
        <w:rPr>
          <w:rFonts w:asciiTheme="minorBidi" w:hAnsiTheme="minorBidi" w:cstheme="minorBidi"/>
          <w:sz w:val="16"/>
          <w:szCs w:val="16"/>
        </w:rPr>
        <w:t xml:space="preserve"> </w:t>
      </w:r>
      <w:r w:rsidRPr="008F532F">
        <w:rPr>
          <w:rFonts w:asciiTheme="minorBidi" w:hAnsiTheme="minorBidi" w:cstheme="minorBidi"/>
          <w:spacing w:val="-2"/>
          <w:sz w:val="16"/>
          <w:szCs w:val="16"/>
        </w:rPr>
        <w:t>2024;922:171259.</w:t>
      </w:r>
      <w:r w:rsidR="008F532F" w:rsidRPr="008F532F">
        <w:rPr>
          <w:rFonts w:asciiTheme="minorBidi" w:hAnsiTheme="minorBidi" w:cstheme="minorBidi"/>
          <w:sz w:val="16"/>
          <w:szCs w:val="16"/>
        </w:rPr>
        <w:t xml:space="preserve"> </w:t>
      </w:r>
      <w:r w:rsidRPr="008F532F">
        <w:rPr>
          <w:rFonts w:asciiTheme="minorBidi" w:hAnsiTheme="minorBidi" w:cstheme="minorBidi"/>
          <w:spacing w:val="-4"/>
          <w:sz w:val="16"/>
          <w:szCs w:val="16"/>
        </w:rPr>
        <w:t>DOI:</w:t>
      </w:r>
      <w:r w:rsidRPr="008F532F">
        <w:rPr>
          <w:rFonts w:asciiTheme="minorBidi" w:hAnsiTheme="minorBidi" w:cstheme="minorBidi"/>
          <w:spacing w:val="40"/>
          <w:sz w:val="16"/>
          <w:szCs w:val="16"/>
        </w:rPr>
        <w:t xml:space="preserve"> </w:t>
      </w:r>
      <w:hyperlink r:id="rId49">
        <w:r w:rsidR="005A6EFD" w:rsidRPr="008F532F">
          <w:rPr>
            <w:rFonts w:asciiTheme="minorBidi" w:hAnsiTheme="minorBidi" w:cstheme="minorBidi"/>
            <w:color w:val="0000FF"/>
            <w:spacing w:val="-2"/>
            <w:sz w:val="16"/>
            <w:szCs w:val="16"/>
            <w:u w:val="single" w:color="0000FF"/>
          </w:rPr>
          <w:t>https://doi.org/10.1016/j.scitotenv.2024.171259</w:t>
        </w:r>
      </w:hyperlink>
    </w:p>
    <w:p w14:paraId="7DEB23C2" w14:textId="1532B0E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Hossain M.Z., Bahar M.M., Sarkar B., Donne S.W., Ok Y.S.,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Palansooriya</w:t>
      </w:r>
      <w:r w:rsidRPr="008F532F">
        <w:rPr>
          <w:rFonts w:asciiTheme="minorBidi" w:hAnsiTheme="minorBidi" w:cstheme="minorBidi"/>
          <w:spacing w:val="-4"/>
          <w:sz w:val="16"/>
          <w:szCs w:val="16"/>
        </w:rPr>
        <w:t xml:space="preserve"> </w:t>
      </w:r>
      <w:r w:rsidRPr="008F532F">
        <w:rPr>
          <w:rFonts w:asciiTheme="minorBidi" w:hAnsiTheme="minorBidi" w:cstheme="minorBidi"/>
          <w:sz w:val="16"/>
          <w:szCs w:val="16"/>
        </w:rPr>
        <w:t>K.N., Kirkham M.B., Chowdhury</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S., Bolan</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N. Biochar</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and its importance on nutrient dynamics in soil and plant. Biochar.</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2020;2(4):379–420.</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DOI:</w:t>
      </w:r>
      <w:r w:rsidRPr="008F532F">
        <w:rPr>
          <w:rFonts w:asciiTheme="minorBidi" w:hAnsiTheme="minorBidi" w:cstheme="minorBidi"/>
          <w:spacing w:val="40"/>
          <w:sz w:val="16"/>
          <w:szCs w:val="16"/>
        </w:rPr>
        <w:t xml:space="preserve">  </w:t>
      </w:r>
      <w:hyperlink r:id="rId50" w:history="1">
        <w:r w:rsidR="008F532F" w:rsidRPr="006F3428">
          <w:rPr>
            <w:rStyle w:val="Hyperlink"/>
            <w:rFonts w:asciiTheme="minorBidi" w:hAnsiTheme="minorBidi" w:cstheme="minorBidi"/>
            <w:sz w:val="16"/>
            <w:szCs w:val="16"/>
          </w:rPr>
          <w:t>https://doi.org/10.1007/s42773-020-</w:t>
        </w:r>
        <w:r w:rsidR="008F532F" w:rsidRPr="006F3428">
          <w:rPr>
            <w:rStyle w:val="Hyperlink"/>
            <w:rFonts w:asciiTheme="minorBidi" w:hAnsiTheme="minorBidi" w:cstheme="minorBidi"/>
            <w:spacing w:val="-2"/>
            <w:sz w:val="16"/>
            <w:szCs w:val="16"/>
          </w:rPr>
          <w:t>00065-</w:t>
        </w:r>
        <w:r w:rsidR="008F532F" w:rsidRPr="006F3428">
          <w:rPr>
            <w:rStyle w:val="Hyperlink"/>
            <w:rFonts w:asciiTheme="minorBidi" w:hAnsiTheme="minorBidi" w:cstheme="minorBidi"/>
            <w:spacing w:val="-10"/>
            <w:sz w:val="16"/>
            <w:szCs w:val="16"/>
          </w:rPr>
          <w:t>z</w:t>
        </w:r>
      </w:hyperlink>
      <w:r w:rsidR="008F532F">
        <w:rPr>
          <w:rFonts w:asciiTheme="minorBidi" w:hAnsiTheme="minorBidi" w:cstheme="minorBidi"/>
          <w:spacing w:val="-10"/>
          <w:sz w:val="16"/>
          <w:szCs w:val="16"/>
        </w:rPr>
        <w:t xml:space="preserve"> </w:t>
      </w:r>
    </w:p>
    <w:p w14:paraId="740DF386" w14:textId="4465643B"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Hu H., Xi B., Tan W. Effects of sulfur-rich biochar amendment on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microbial methylation of mercury in rhizosphere paddy soil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methylmercury accumulation in rice. Environmental Pollution</w:t>
      </w:r>
      <w:r w:rsidRPr="008F532F">
        <w:rPr>
          <w:rFonts w:asciiTheme="minorBidi" w:hAnsiTheme="minorBidi" w:cstheme="minorBidi"/>
          <w:i/>
          <w:sz w:val="16"/>
          <w:szCs w:val="16"/>
        </w:rPr>
        <w:t>.</w:t>
      </w:r>
      <w:r w:rsidRPr="008F532F">
        <w:rPr>
          <w:rFonts w:asciiTheme="minorBidi" w:hAnsiTheme="minorBidi" w:cstheme="minorBidi"/>
          <w:i/>
          <w:spacing w:val="40"/>
          <w:sz w:val="16"/>
          <w:szCs w:val="16"/>
        </w:rPr>
        <w:t xml:space="preserve"> </w:t>
      </w:r>
      <w:r w:rsidRPr="008F532F">
        <w:rPr>
          <w:rFonts w:asciiTheme="minorBidi" w:hAnsiTheme="minorBidi" w:cstheme="minorBidi"/>
          <w:spacing w:val="-2"/>
          <w:sz w:val="16"/>
          <w:szCs w:val="16"/>
        </w:rPr>
        <w:t>2021;286:117290.</w:t>
      </w:r>
      <w:r w:rsidRPr="008F532F">
        <w:rPr>
          <w:rFonts w:asciiTheme="minorBidi" w:hAnsiTheme="minorBidi" w:cstheme="minorBidi"/>
          <w:sz w:val="16"/>
          <w:szCs w:val="16"/>
        </w:rPr>
        <w:tab/>
      </w:r>
      <w:r w:rsidRPr="008F532F">
        <w:rPr>
          <w:rFonts w:asciiTheme="minorBidi" w:hAnsiTheme="minorBidi" w:cstheme="minorBidi"/>
          <w:spacing w:val="-4"/>
          <w:sz w:val="16"/>
          <w:szCs w:val="16"/>
        </w:rPr>
        <w:t>DOI:</w:t>
      </w:r>
      <w:r w:rsidR="008F532F" w:rsidRPr="008F532F">
        <w:rPr>
          <w:rFonts w:asciiTheme="minorBidi" w:hAnsiTheme="minorBidi" w:cstheme="minorBidi"/>
          <w:spacing w:val="-4"/>
          <w:sz w:val="16"/>
          <w:szCs w:val="16"/>
        </w:rPr>
        <w:t xml:space="preserve"> </w:t>
      </w:r>
      <w:hyperlink r:id="rId51">
        <w:r w:rsidR="005A6EFD" w:rsidRPr="008F532F">
          <w:rPr>
            <w:rFonts w:asciiTheme="minorBidi" w:hAnsiTheme="minorBidi" w:cstheme="minorBidi"/>
            <w:color w:val="0000FF"/>
            <w:spacing w:val="-2"/>
            <w:sz w:val="16"/>
            <w:szCs w:val="16"/>
            <w:u w:val="single" w:color="0000FF"/>
          </w:rPr>
          <w:t>https://doi.org/10.1016/j.envpol.2021.117290</w:t>
        </w:r>
      </w:hyperlink>
    </w:p>
    <w:p w14:paraId="158615DF"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Tittarelli F., Ceglie F.G., Ciaccia C., Mimiola G., Amodio M.L.,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Colelli G. Organic strawberry in Mediterranean greenhouse: effect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of different production systems on soil fertility and fruit quality.</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Renewable Agriculture and Food Systems</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2017;32(6):485–497.</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DOI: </w:t>
      </w:r>
      <w:hyperlink r:id="rId52">
        <w:r w:rsidR="005A6EFD" w:rsidRPr="008F532F">
          <w:rPr>
            <w:rFonts w:asciiTheme="minorBidi" w:hAnsiTheme="minorBidi" w:cstheme="minorBidi"/>
            <w:color w:val="0000FF"/>
            <w:sz w:val="16"/>
            <w:szCs w:val="16"/>
            <w:u w:val="single" w:color="0000FF"/>
          </w:rPr>
          <w:t>https://doi.org/10.1017/S1742170516000417</w:t>
        </w:r>
      </w:hyperlink>
    </w:p>
    <w:p w14:paraId="13D1D0BB" w14:textId="43724B5C"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Hung C.-Y., Hussain N., Husk B.R., Whalen J.K. Ammonia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volatilization</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from manure</w:t>
      </w:r>
      <w:r w:rsidRPr="008F532F">
        <w:rPr>
          <w:rFonts w:asciiTheme="minorBidi" w:hAnsiTheme="minorBidi" w:cstheme="minorBidi"/>
          <w:spacing w:val="-6"/>
          <w:sz w:val="16"/>
          <w:szCs w:val="16"/>
        </w:rPr>
        <w:t xml:space="preserve"> </w:t>
      </w:r>
      <w:r w:rsidRPr="008F532F">
        <w:rPr>
          <w:rFonts w:asciiTheme="minorBidi" w:hAnsiTheme="minorBidi" w:cstheme="minorBidi"/>
          <w:sz w:val="16"/>
          <w:szCs w:val="16"/>
        </w:rPr>
        <w:t>mixed</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with biochar. Canadian</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Journal of</w:t>
      </w:r>
      <w:r w:rsidRPr="008F532F">
        <w:rPr>
          <w:rFonts w:asciiTheme="minorBidi" w:hAnsiTheme="minorBidi" w:cstheme="minorBidi"/>
          <w:spacing w:val="40"/>
          <w:sz w:val="16"/>
          <w:szCs w:val="16"/>
        </w:rPr>
        <w:t xml:space="preserve"> </w:t>
      </w:r>
      <w:r w:rsidRPr="008F532F">
        <w:rPr>
          <w:rFonts w:asciiTheme="minorBidi" w:hAnsiTheme="minorBidi" w:cstheme="minorBidi"/>
          <w:spacing w:val="-4"/>
          <w:sz w:val="16"/>
          <w:szCs w:val="16"/>
        </w:rPr>
        <w:t>Soil</w:t>
      </w:r>
      <w:r w:rsidR="008F532F" w:rsidRPr="008F532F">
        <w:rPr>
          <w:rFonts w:asciiTheme="minorBidi" w:hAnsiTheme="minorBidi" w:cstheme="minorBidi"/>
          <w:spacing w:val="-4"/>
          <w:sz w:val="16"/>
          <w:szCs w:val="16"/>
        </w:rPr>
        <w:t xml:space="preserve"> </w:t>
      </w:r>
      <w:r w:rsidRPr="008F532F">
        <w:rPr>
          <w:rFonts w:asciiTheme="minorBidi" w:hAnsiTheme="minorBidi" w:cstheme="minorBidi"/>
          <w:spacing w:val="-2"/>
          <w:sz w:val="16"/>
          <w:szCs w:val="16"/>
        </w:rPr>
        <w:t>Science</w:t>
      </w:r>
      <w:r w:rsidRPr="008F532F">
        <w:rPr>
          <w:rFonts w:asciiTheme="minorBidi" w:hAnsiTheme="minorBidi" w:cstheme="minorBidi"/>
          <w:i/>
          <w:spacing w:val="-2"/>
          <w:sz w:val="16"/>
          <w:szCs w:val="16"/>
        </w:rPr>
        <w:t>.</w:t>
      </w:r>
      <w:r w:rsidR="008F532F" w:rsidRPr="008F532F">
        <w:rPr>
          <w:rFonts w:asciiTheme="minorBidi" w:hAnsiTheme="minorBidi" w:cstheme="minorBidi"/>
          <w:i/>
          <w:spacing w:val="-2"/>
          <w:sz w:val="16"/>
          <w:szCs w:val="16"/>
        </w:rPr>
        <w:t xml:space="preserve"> </w:t>
      </w:r>
      <w:r w:rsidRPr="008F532F">
        <w:rPr>
          <w:rFonts w:asciiTheme="minorBidi" w:hAnsiTheme="minorBidi" w:cstheme="minorBidi"/>
          <w:spacing w:val="-2"/>
          <w:sz w:val="16"/>
          <w:szCs w:val="16"/>
        </w:rPr>
        <w:t>2021;102(1):177–186.</w:t>
      </w:r>
      <w:r w:rsidR="008F532F" w:rsidRPr="008F532F">
        <w:rPr>
          <w:rFonts w:asciiTheme="minorBidi" w:hAnsiTheme="minorBidi" w:cstheme="minorBidi"/>
          <w:spacing w:val="-2"/>
          <w:sz w:val="16"/>
          <w:szCs w:val="16"/>
        </w:rPr>
        <w:t xml:space="preserve"> </w:t>
      </w:r>
      <w:r w:rsidRPr="008F532F">
        <w:rPr>
          <w:rFonts w:asciiTheme="minorBidi" w:hAnsiTheme="minorBidi" w:cstheme="minorBidi"/>
          <w:spacing w:val="-4"/>
          <w:sz w:val="16"/>
          <w:szCs w:val="16"/>
        </w:rPr>
        <w:t>DOI:</w:t>
      </w:r>
      <w:r w:rsidR="008F532F" w:rsidRPr="008F532F">
        <w:rPr>
          <w:rFonts w:asciiTheme="minorBidi" w:hAnsiTheme="minorBidi" w:cstheme="minorBidi"/>
          <w:spacing w:val="-4"/>
          <w:sz w:val="16"/>
          <w:szCs w:val="16"/>
        </w:rPr>
        <w:t xml:space="preserve"> </w:t>
      </w:r>
      <w:hyperlink r:id="rId53">
        <w:r w:rsidR="005A6EFD" w:rsidRPr="008F532F">
          <w:rPr>
            <w:rFonts w:asciiTheme="minorBidi" w:hAnsiTheme="minorBidi" w:cstheme="minorBidi"/>
            <w:color w:val="0000FF"/>
            <w:spacing w:val="-2"/>
            <w:sz w:val="16"/>
            <w:szCs w:val="16"/>
            <w:u w:val="single" w:color="0000FF"/>
          </w:rPr>
          <w:t>https://doi.org/10.1139/cjss-2021-</w:t>
        </w:r>
        <w:r w:rsidR="005A6EFD" w:rsidRPr="008F532F">
          <w:rPr>
            <w:rFonts w:asciiTheme="minorBidi" w:hAnsiTheme="minorBidi" w:cstheme="minorBidi"/>
            <w:color w:val="0000FF"/>
            <w:spacing w:val="-4"/>
            <w:sz w:val="16"/>
            <w:szCs w:val="16"/>
            <w:u w:val="single" w:color="0000FF"/>
          </w:rPr>
          <w:t>0029</w:t>
        </w:r>
      </w:hyperlink>
    </w:p>
    <w:p w14:paraId="2B8A48BB"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lastRenderedPageBreak/>
        <w:t>Janu R., Mrlik V., Ribitsch D., Hofman J., Sedláček P., Bielská L.,</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Soja G. Biochar surface functional groups as affected by biomass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feedstock, biochar composition and</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pyrolysis temperature. Carbon</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Resources</w:t>
      </w:r>
      <w:r w:rsidRPr="008F532F">
        <w:rPr>
          <w:rFonts w:asciiTheme="minorBidi" w:hAnsiTheme="minorBidi" w:cstheme="minorBidi"/>
          <w:sz w:val="16"/>
          <w:szCs w:val="16"/>
        </w:rPr>
        <w:tab/>
      </w:r>
      <w:r w:rsidRPr="008F532F">
        <w:rPr>
          <w:rFonts w:asciiTheme="minorBidi" w:hAnsiTheme="minorBidi" w:cstheme="minorBidi"/>
          <w:spacing w:val="-2"/>
          <w:sz w:val="16"/>
          <w:szCs w:val="16"/>
        </w:rPr>
        <w:t>Conversion</w:t>
      </w:r>
      <w:r w:rsidRPr="008F532F">
        <w:rPr>
          <w:rFonts w:asciiTheme="minorBidi" w:hAnsiTheme="minorBidi" w:cstheme="minorBidi"/>
          <w:i/>
          <w:spacing w:val="-2"/>
          <w:sz w:val="16"/>
          <w:szCs w:val="16"/>
        </w:rPr>
        <w:t>.</w:t>
      </w:r>
      <w:r w:rsidRPr="008F532F">
        <w:rPr>
          <w:rFonts w:asciiTheme="minorBidi" w:hAnsiTheme="minorBidi" w:cstheme="minorBidi"/>
          <w:i/>
          <w:sz w:val="16"/>
          <w:szCs w:val="16"/>
        </w:rPr>
        <w:tab/>
      </w:r>
      <w:r w:rsidRPr="008F532F">
        <w:rPr>
          <w:rFonts w:asciiTheme="minorBidi" w:hAnsiTheme="minorBidi" w:cstheme="minorBidi"/>
          <w:spacing w:val="-2"/>
          <w:sz w:val="16"/>
          <w:szCs w:val="16"/>
        </w:rPr>
        <w:t>2021;4:36–46.</w:t>
      </w:r>
      <w:r w:rsidRPr="008F532F">
        <w:rPr>
          <w:rFonts w:asciiTheme="minorBidi" w:hAnsiTheme="minorBidi" w:cstheme="minorBidi"/>
          <w:sz w:val="16"/>
          <w:szCs w:val="16"/>
        </w:rPr>
        <w:tab/>
      </w:r>
      <w:r w:rsidRPr="008F532F">
        <w:rPr>
          <w:rFonts w:asciiTheme="minorBidi" w:hAnsiTheme="minorBidi" w:cstheme="minorBidi"/>
          <w:spacing w:val="-4"/>
          <w:sz w:val="16"/>
          <w:szCs w:val="16"/>
        </w:rPr>
        <w:t>DOI:</w:t>
      </w:r>
      <w:r w:rsidRPr="008F532F">
        <w:rPr>
          <w:rFonts w:asciiTheme="minorBidi" w:hAnsiTheme="minorBidi" w:cstheme="minorBidi"/>
          <w:spacing w:val="40"/>
          <w:sz w:val="16"/>
          <w:szCs w:val="16"/>
        </w:rPr>
        <w:t xml:space="preserve"> </w:t>
      </w:r>
      <w:hyperlink r:id="rId54">
        <w:r w:rsidR="005A6EFD" w:rsidRPr="008F532F">
          <w:rPr>
            <w:rFonts w:asciiTheme="minorBidi" w:hAnsiTheme="minorBidi" w:cstheme="minorBidi"/>
            <w:color w:val="0000FF"/>
            <w:spacing w:val="-2"/>
            <w:sz w:val="16"/>
            <w:szCs w:val="16"/>
            <w:u w:val="single" w:color="0000FF"/>
          </w:rPr>
          <w:t>https://doi.org/10.1016/j.crcon.2021.01.003</w:t>
        </w:r>
      </w:hyperlink>
    </w:p>
    <w:p w14:paraId="06992278"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Guest G., Smith W., Grant B., VanderZaag A., Desjardins R.,</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McConkey B. A comparative life</w:t>
      </w:r>
      <w:r w:rsidRPr="008F532F">
        <w:rPr>
          <w:rFonts w:asciiTheme="minorBidi" w:hAnsiTheme="minorBidi" w:cstheme="minorBidi"/>
          <w:spacing w:val="-1"/>
          <w:sz w:val="16"/>
          <w:szCs w:val="16"/>
        </w:rPr>
        <w:t xml:space="preserve"> </w:t>
      </w:r>
      <w:r w:rsidRPr="008F532F">
        <w:rPr>
          <w:rFonts w:asciiTheme="minorBidi" w:hAnsiTheme="minorBidi" w:cstheme="minorBidi"/>
          <w:sz w:val="16"/>
          <w:szCs w:val="16"/>
        </w:rPr>
        <w:t>cycle assessment highlighting the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trade-offs of a liquid manure separator-composter in a Canadian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dairy farm system. Journal of Cleaner Production</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2017;142:824–</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835. DOI: </w:t>
      </w:r>
      <w:hyperlink r:id="rId55">
        <w:r w:rsidR="005A6EFD" w:rsidRPr="008F532F">
          <w:rPr>
            <w:rFonts w:asciiTheme="minorBidi" w:hAnsiTheme="minorBidi" w:cstheme="minorBidi"/>
            <w:color w:val="0000FF"/>
            <w:sz w:val="16"/>
            <w:szCs w:val="16"/>
            <w:u w:val="single" w:color="0000FF"/>
          </w:rPr>
          <w:t>https://doi.org/10.1016/j.jclepro.2016.12.041</w:t>
        </w:r>
      </w:hyperlink>
    </w:p>
    <w:p w14:paraId="204229A8"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Palita S.K., Panigrahi R. &amp; Panda D. Potentiality of Bat Guano as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Organic Manure for Improvement of Growth and Photosynthetic</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Response in Crop Plants. Proc. Natl. Acad. Sci.</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India, Sect.</w:t>
      </w:r>
      <w:r w:rsidRPr="008F532F">
        <w:rPr>
          <w:rFonts w:asciiTheme="minorBidi" w:hAnsiTheme="minorBidi" w:cstheme="minorBidi"/>
          <w:spacing w:val="31"/>
          <w:sz w:val="16"/>
          <w:szCs w:val="16"/>
        </w:rPr>
        <w:t xml:space="preserve"> </w:t>
      </w:r>
      <w:r w:rsidRPr="008F532F">
        <w:rPr>
          <w:rFonts w:asciiTheme="minorBidi" w:hAnsiTheme="minorBidi" w:cstheme="minorBidi"/>
          <w:sz w:val="16"/>
          <w:szCs w:val="16"/>
        </w:rPr>
        <w:t>B</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Biol. Sci. 2021; 91: 185–193. DOI: </w:t>
      </w:r>
      <w:hyperlink r:id="rId56">
        <w:r w:rsidR="005A6EFD" w:rsidRPr="008F532F">
          <w:rPr>
            <w:rFonts w:asciiTheme="minorBidi" w:hAnsiTheme="minorBidi" w:cstheme="minorBidi"/>
            <w:color w:val="0000FF"/>
            <w:sz w:val="16"/>
            <w:szCs w:val="16"/>
            <w:u w:val="single" w:color="0000FF"/>
          </w:rPr>
          <w:t>https://doi.org/10.1007/s40011-</w:t>
        </w:r>
      </w:hyperlink>
      <w:r w:rsidRPr="008F532F">
        <w:rPr>
          <w:rFonts w:asciiTheme="minorBidi" w:hAnsiTheme="minorBidi" w:cstheme="minorBidi"/>
          <w:color w:val="0000FF"/>
          <w:spacing w:val="40"/>
          <w:sz w:val="16"/>
          <w:szCs w:val="16"/>
        </w:rPr>
        <w:t xml:space="preserve"> </w:t>
      </w:r>
      <w:hyperlink r:id="rId57">
        <w:r w:rsidR="005A6EFD" w:rsidRPr="008F532F">
          <w:rPr>
            <w:rFonts w:asciiTheme="minorBidi" w:hAnsiTheme="minorBidi" w:cstheme="minorBidi"/>
            <w:color w:val="0000FF"/>
            <w:spacing w:val="-2"/>
            <w:sz w:val="16"/>
            <w:szCs w:val="16"/>
            <w:u w:val="single" w:color="0000FF"/>
          </w:rPr>
          <w:t>020-01205-y</w:t>
        </w:r>
      </w:hyperlink>
    </w:p>
    <w:p w14:paraId="2544E355"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Win P.P., Park H.-H., Kuk Y.-I. Integrated approach of using</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biostimulants for improving growth, physiological traits,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tolerance to abiotic stressors in rice and soybean. Agronomy</w:t>
      </w:r>
      <w:r w:rsidRPr="008F532F">
        <w:rPr>
          <w:rFonts w:asciiTheme="minorBidi" w:hAnsiTheme="minorBidi" w:cstheme="minorBidi"/>
          <w:i/>
          <w:sz w:val="16"/>
          <w:szCs w:val="16"/>
        </w:rPr>
        <w:t>.</w:t>
      </w:r>
      <w:r w:rsidRPr="008F532F">
        <w:rPr>
          <w:rFonts w:asciiTheme="minorBidi" w:hAnsiTheme="minorBidi" w:cstheme="minorBidi"/>
          <w:i/>
          <w:spacing w:val="40"/>
          <w:sz w:val="16"/>
          <w:szCs w:val="16"/>
        </w:rPr>
        <w:t xml:space="preserve"> </w:t>
      </w:r>
      <w:r w:rsidRPr="008F532F">
        <w:rPr>
          <w:rFonts w:asciiTheme="minorBidi" w:hAnsiTheme="minorBidi" w:cstheme="minorBidi"/>
          <w:sz w:val="16"/>
          <w:szCs w:val="16"/>
        </w:rPr>
        <w:t>2025;15:2265. DOI: https://doi.org/10.3390/agronomy15102265</w:t>
      </w:r>
    </w:p>
    <w:p w14:paraId="361B3A6E"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Hernández T., Chocano C., Moreno J.-L., García C. Towards a</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more sustainable fertilization: combined use of compost and</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inorganic fertilization for tomato cultivation. Agriculture,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Ecosystems and Environment</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2014;196:178–184. DOI:</w:t>
      </w:r>
      <w:r w:rsidRPr="008F532F">
        <w:rPr>
          <w:rFonts w:asciiTheme="minorBidi" w:hAnsiTheme="minorBidi" w:cstheme="minorBidi"/>
          <w:spacing w:val="40"/>
          <w:sz w:val="16"/>
          <w:szCs w:val="16"/>
        </w:rPr>
        <w:t xml:space="preserve"> </w:t>
      </w:r>
      <w:hyperlink r:id="rId58">
        <w:r w:rsidR="005A6EFD" w:rsidRPr="008F532F">
          <w:rPr>
            <w:rFonts w:asciiTheme="minorBidi" w:hAnsiTheme="minorBidi" w:cstheme="minorBidi"/>
            <w:color w:val="0000FF"/>
            <w:spacing w:val="-2"/>
            <w:sz w:val="16"/>
            <w:szCs w:val="16"/>
            <w:u w:val="single" w:color="0000FF"/>
          </w:rPr>
          <w:t>https://doi.org/10.1016/j.agee.2014.07.006</w:t>
        </w:r>
      </w:hyperlink>
    </w:p>
    <w:p w14:paraId="283FB0B1" w14:textId="77777777"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Ebert A.W. The Role of Vegetable Genetic Resources in Nutrition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Security</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and Vegetable Breeding. Plants</w:t>
      </w:r>
      <w:r w:rsidRPr="008F532F">
        <w:rPr>
          <w:rFonts w:asciiTheme="minorBidi" w:hAnsiTheme="minorBidi" w:cstheme="minorBidi"/>
          <w:b/>
          <w:sz w:val="16"/>
          <w:szCs w:val="16"/>
        </w:rPr>
        <w:t>.</w:t>
      </w:r>
      <w:r w:rsidRPr="008F532F">
        <w:rPr>
          <w:rFonts w:asciiTheme="minorBidi" w:hAnsiTheme="minorBidi" w:cstheme="minorBidi"/>
          <w:b/>
          <w:spacing w:val="-1"/>
          <w:sz w:val="16"/>
          <w:szCs w:val="16"/>
        </w:rPr>
        <w:t xml:space="preserve"> </w:t>
      </w:r>
      <w:r w:rsidRPr="008F532F">
        <w:rPr>
          <w:rFonts w:asciiTheme="minorBidi" w:hAnsiTheme="minorBidi" w:cstheme="minorBidi"/>
          <w:bCs/>
          <w:sz w:val="16"/>
          <w:szCs w:val="16"/>
        </w:rPr>
        <w:t>2020</w:t>
      </w:r>
      <w:r w:rsidRPr="008F532F">
        <w:rPr>
          <w:rFonts w:asciiTheme="minorBidi" w:hAnsiTheme="minorBidi" w:cstheme="minorBidi"/>
          <w:sz w:val="16"/>
          <w:szCs w:val="16"/>
        </w:rPr>
        <w:t xml:space="preserve">; </w:t>
      </w:r>
      <w:r w:rsidRPr="008F532F">
        <w:rPr>
          <w:rFonts w:asciiTheme="minorBidi" w:hAnsiTheme="minorBidi" w:cstheme="minorBidi"/>
          <w:i/>
          <w:sz w:val="16"/>
          <w:szCs w:val="16"/>
        </w:rPr>
        <w:t>9</w:t>
      </w:r>
      <w:r w:rsidRPr="008F532F">
        <w:rPr>
          <w:rFonts w:asciiTheme="minorBidi" w:hAnsiTheme="minorBidi" w:cstheme="minorBidi"/>
          <w:sz w:val="16"/>
          <w:szCs w:val="16"/>
        </w:rPr>
        <w: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736.</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DOI:</w:t>
      </w:r>
      <w:r w:rsidRPr="008F532F">
        <w:rPr>
          <w:rFonts w:asciiTheme="minorBidi" w:hAnsiTheme="minorBidi" w:cstheme="minorBidi"/>
          <w:spacing w:val="40"/>
          <w:sz w:val="16"/>
          <w:szCs w:val="16"/>
        </w:rPr>
        <w:t xml:space="preserve"> </w:t>
      </w:r>
      <w:hyperlink r:id="rId59">
        <w:r w:rsidR="005A6EFD" w:rsidRPr="008F532F">
          <w:rPr>
            <w:rFonts w:asciiTheme="minorBidi" w:hAnsiTheme="minorBidi" w:cstheme="minorBidi"/>
            <w:color w:val="0000FF"/>
            <w:spacing w:val="-2"/>
            <w:sz w:val="16"/>
            <w:szCs w:val="16"/>
            <w:u w:val="single" w:color="0000FF"/>
          </w:rPr>
          <w:t>https://doi.org/10.3390/plants9060736</w:t>
        </w:r>
      </w:hyperlink>
    </w:p>
    <w:p w14:paraId="66E65677" w14:textId="67DDF162" w:rsidR="005A6EFD" w:rsidRPr="008F532F" w:rsidRDefault="00B67A8E" w:rsidP="008F532F">
      <w:pPr>
        <w:pStyle w:val="ListParagraph"/>
        <w:numPr>
          <w:ilvl w:val="0"/>
          <w:numId w:val="4"/>
        </w:numPr>
        <w:spacing w:after="60" w:line="288" w:lineRule="auto"/>
        <w:ind w:left="284" w:right="0" w:hanging="284"/>
        <w:rPr>
          <w:rFonts w:asciiTheme="minorBidi" w:hAnsiTheme="minorBidi" w:cstheme="minorBidi"/>
          <w:sz w:val="16"/>
          <w:szCs w:val="16"/>
        </w:rPr>
      </w:pPr>
      <w:r w:rsidRPr="008F532F">
        <w:rPr>
          <w:rFonts w:asciiTheme="minorBidi" w:hAnsiTheme="minorBidi" w:cstheme="minorBidi"/>
          <w:sz w:val="16"/>
          <w:szCs w:val="16"/>
        </w:rPr>
        <w:t>Jin</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X., Zhang T., Hou</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Y., Bol R., Zhang X., Zhang</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M., Yu N., Meng</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J., Zou H., Wang J. Review on the effects of biochar amendment</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on soil microorganisms and enzyme activity. Journal of Soils and</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Sediments</w:t>
      </w:r>
      <w:r w:rsidRPr="008F532F">
        <w:rPr>
          <w:rFonts w:asciiTheme="minorBidi" w:hAnsiTheme="minorBidi" w:cstheme="minorBidi"/>
          <w:i/>
          <w:spacing w:val="-2"/>
          <w:sz w:val="16"/>
          <w:szCs w:val="16"/>
        </w:rPr>
        <w:t>.</w:t>
      </w:r>
      <w:r w:rsidRPr="008F532F">
        <w:rPr>
          <w:rFonts w:asciiTheme="minorBidi" w:hAnsiTheme="minorBidi" w:cstheme="minorBidi"/>
          <w:i/>
          <w:sz w:val="16"/>
          <w:szCs w:val="16"/>
        </w:rPr>
        <w:tab/>
      </w:r>
      <w:r w:rsidRPr="008F532F">
        <w:rPr>
          <w:rFonts w:asciiTheme="minorBidi" w:hAnsiTheme="minorBidi" w:cstheme="minorBidi"/>
          <w:spacing w:val="-2"/>
          <w:sz w:val="16"/>
          <w:szCs w:val="16"/>
        </w:rPr>
        <w:t>2024;24(7):2599–2612.</w:t>
      </w:r>
      <w:r w:rsidR="00FF2F8D" w:rsidRPr="008F532F">
        <w:rPr>
          <w:rFonts w:asciiTheme="minorBidi" w:hAnsiTheme="minorBidi" w:cstheme="minorBidi"/>
          <w:spacing w:val="-4"/>
          <w:sz w:val="16"/>
          <w:szCs w:val="16"/>
        </w:rPr>
        <w:t xml:space="preserve"> </w:t>
      </w:r>
      <w:r w:rsidRPr="008F532F">
        <w:rPr>
          <w:rFonts w:asciiTheme="minorBidi" w:hAnsiTheme="minorBidi" w:cstheme="minorBidi"/>
          <w:spacing w:val="-4"/>
          <w:sz w:val="16"/>
          <w:szCs w:val="16"/>
        </w:rPr>
        <w:t>DOI:</w:t>
      </w:r>
      <w:r w:rsidR="008F532F" w:rsidRPr="008F532F">
        <w:rPr>
          <w:rFonts w:asciiTheme="minorBidi" w:hAnsiTheme="minorBidi" w:cstheme="minorBidi"/>
          <w:spacing w:val="-4"/>
          <w:sz w:val="16"/>
          <w:szCs w:val="16"/>
        </w:rPr>
        <w:t xml:space="preserve"> </w:t>
      </w:r>
      <w:r w:rsidRPr="008F532F">
        <w:rPr>
          <w:rFonts w:asciiTheme="minorBidi" w:hAnsiTheme="minorBidi" w:cstheme="minorBidi"/>
          <w:spacing w:val="-2"/>
          <w:sz w:val="16"/>
          <w:szCs w:val="16"/>
        </w:rPr>
        <w:t>https://doi.org/10.1007/s11368-024-03841-</w:t>
      </w:r>
      <w:r w:rsidRPr="008F532F">
        <w:rPr>
          <w:rFonts w:asciiTheme="minorBidi" w:hAnsiTheme="minorBidi" w:cstheme="minorBidi"/>
          <w:spacing w:val="-10"/>
          <w:sz w:val="16"/>
          <w:szCs w:val="16"/>
        </w:rPr>
        <w:t>7</w:t>
      </w:r>
    </w:p>
    <w:p w14:paraId="5AF3EDB6" w14:textId="77777777" w:rsidR="009F2023" w:rsidRDefault="00B67A8E" w:rsidP="008F532F">
      <w:pPr>
        <w:pStyle w:val="ListParagraph"/>
        <w:numPr>
          <w:ilvl w:val="0"/>
          <w:numId w:val="4"/>
        </w:numPr>
        <w:spacing w:after="60" w:line="288" w:lineRule="auto"/>
        <w:ind w:left="284" w:right="0" w:hanging="284"/>
        <w:rPr>
          <w:rFonts w:asciiTheme="minorBidi" w:hAnsiTheme="minorBidi" w:cstheme="minorBidi"/>
          <w:spacing w:val="-2"/>
          <w:sz w:val="16"/>
          <w:szCs w:val="16"/>
        </w:rPr>
        <w:sectPr w:rsidR="009F2023" w:rsidSect="009F2023">
          <w:type w:val="continuous"/>
          <w:pgSz w:w="11910" w:h="16840" w:code="9"/>
          <w:pgMar w:top="1077" w:right="1077" w:bottom="1077" w:left="1077" w:header="720" w:footer="720" w:gutter="0"/>
          <w:pgNumType w:start="1"/>
          <w:cols w:num="2" w:space="720"/>
        </w:sectPr>
      </w:pPr>
      <w:r w:rsidRPr="008F532F">
        <w:rPr>
          <w:rFonts w:asciiTheme="minorBidi" w:hAnsiTheme="minorBidi" w:cstheme="minorBidi"/>
          <w:sz w:val="16"/>
          <w:szCs w:val="16"/>
        </w:rPr>
        <w:t>Guan L., Ji X., Sun T., Mu Y.,</w:t>
      </w:r>
      <w:r w:rsidRPr="008F532F">
        <w:rPr>
          <w:rFonts w:asciiTheme="minorBidi" w:hAnsiTheme="minorBidi" w:cstheme="minorBidi"/>
          <w:spacing w:val="-3"/>
          <w:sz w:val="16"/>
          <w:szCs w:val="16"/>
        </w:rPr>
        <w:t xml:space="preserve"> </w:t>
      </w:r>
      <w:r w:rsidRPr="008F532F">
        <w:rPr>
          <w:rFonts w:asciiTheme="minorBidi" w:hAnsiTheme="minorBidi" w:cstheme="minorBidi"/>
          <w:sz w:val="16"/>
          <w:szCs w:val="16"/>
        </w:rPr>
        <w:t>Wang Y., Han Y., Sun Y., Li X., Xie</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K., Zhang S. Differential metabolite analysis of anthocyanins in</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variously</w:t>
      </w:r>
      <w:r w:rsidRPr="008F532F">
        <w:rPr>
          <w:rFonts w:asciiTheme="minorBidi" w:hAnsiTheme="minorBidi" w:cstheme="minorBidi"/>
          <w:spacing w:val="-6"/>
          <w:sz w:val="16"/>
          <w:szCs w:val="16"/>
        </w:rPr>
        <w:t xml:space="preserve"> </w:t>
      </w:r>
      <w:r w:rsidRPr="008F532F">
        <w:rPr>
          <w:rFonts w:asciiTheme="minorBidi" w:hAnsiTheme="minorBidi" w:cstheme="minorBidi"/>
          <w:sz w:val="16"/>
          <w:szCs w:val="16"/>
        </w:rPr>
        <w:t>colored</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petal</w:t>
      </w:r>
      <w:r w:rsidRPr="008F532F">
        <w:rPr>
          <w:rFonts w:asciiTheme="minorBidi" w:hAnsiTheme="minorBidi" w:cstheme="minorBidi"/>
          <w:spacing w:val="-6"/>
          <w:sz w:val="16"/>
          <w:szCs w:val="16"/>
        </w:rPr>
        <w:t xml:space="preserve"> </w:t>
      </w:r>
      <w:r w:rsidRPr="008F532F">
        <w:rPr>
          <w:rFonts w:asciiTheme="minorBidi" w:hAnsiTheme="minorBidi" w:cstheme="minorBidi"/>
          <w:sz w:val="16"/>
          <w:szCs w:val="16"/>
        </w:rPr>
        <w:t>types during</w:t>
      </w:r>
      <w:r w:rsidRPr="008F532F">
        <w:rPr>
          <w:rFonts w:asciiTheme="minorBidi" w:hAnsiTheme="minorBidi" w:cstheme="minorBidi"/>
          <w:spacing w:val="-2"/>
          <w:sz w:val="16"/>
          <w:szCs w:val="16"/>
        </w:rPr>
        <w:t xml:space="preserve"> </w:t>
      </w:r>
      <w:r w:rsidRPr="008F532F">
        <w:rPr>
          <w:rFonts w:asciiTheme="minorBidi" w:hAnsiTheme="minorBidi" w:cstheme="minorBidi"/>
          <w:sz w:val="16"/>
          <w:szCs w:val="16"/>
        </w:rPr>
        <w:t>different developmental</w:t>
      </w:r>
      <w:r w:rsidRPr="008F532F">
        <w:rPr>
          <w:rFonts w:asciiTheme="minorBidi" w:hAnsiTheme="minorBidi" w:cstheme="minorBidi"/>
          <w:spacing w:val="-6"/>
          <w:sz w:val="16"/>
          <w:szCs w:val="16"/>
        </w:rPr>
        <w:t xml:space="preserve"> </w:t>
      </w:r>
      <w:r w:rsidRPr="008F532F">
        <w:rPr>
          <w:rFonts w:asciiTheme="minorBidi" w:hAnsiTheme="minorBidi" w:cstheme="minorBidi"/>
          <w:sz w:val="16"/>
          <w:szCs w:val="16"/>
        </w:rPr>
        <w:t>stages</w:t>
      </w:r>
      <w:r w:rsidRPr="008F532F">
        <w:rPr>
          <w:rFonts w:asciiTheme="minorBidi" w:hAnsiTheme="minorBidi" w:cstheme="minorBidi"/>
          <w:spacing w:val="40"/>
          <w:sz w:val="16"/>
          <w:szCs w:val="16"/>
        </w:rPr>
        <w:t xml:space="preserve"> </w:t>
      </w:r>
      <w:r w:rsidRPr="008F532F">
        <w:rPr>
          <w:rFonts w:asciiTheme="minorBidi" w:hAnsiTheme="minorBidi" w:cstheme="minorBidi"/>
          <w:sz w:val="16"/>
          <w:szCs w:val="16"/>
        </w:rPr>
        <w:t xml:space="preserve">of </w:t>
      </w:r>
      <w:r w:rsidRPr="008F532F">
        <w:rPr>
          <w:rFonts w:asciiTheme="minorBidi" w:hAnsiTheme="minorBidi" w:cstheme="minorBidi"/>
          <w:i/>
          <w:sz w:val="16"/>
          <w:szCs w:val="16"/>
        </w:rPr>
        <w:t xml:space="preserve">Sophora japonica </w:t>
      </w:r>
      <w:r w:rsidRPr="008F532F">
        <w:rPr>
          <w:rFonts w:asciiTheme="minorBidi" w:hAnsiTheme="minorBidi" w:cstheme="minorBidi"/>
          <w:sz w:val="16"/>
          <w:szCs w:val="16"/>
        </w:rPr>
        <w:t>L. Horticulturae</w:t>
      </w:r>
      <w:r w:rsidRPr="008F532F">
        <w:rPr>
          <w:rFonts w:asciiTheme="minorBidi" w:hAnsiTheme="minorBidi" w:cstheme="minorBidi"/>
          <w:i/>
          <w:sz w:val="16"/>
          <w:szCs w:val="16"/>
        </w:rPr>
        <w:t xml:space="preserve">. </w:t>
      </w:r>
      <w:r w:rsidRPr="008F532F">
        <w:rPr>
          <w:rFonts w:asciiTheme="minorBidi" w:hAnsiTheme="minorBidi" w:cstheme="minorBidi"/>
          <w:sz w:val="16"/>
          <w:szCs w:val="16"/>
        </w:rPr>
        <w:t>2025;11:143. DOI:</w:t>
      </w:r>
      <w:r w:rsidRPr="008F532F">
        <w:rPr>
          <w:rFonts w:asciiTheme="minorBidi" w:hAnsiTheme="minorBidi" w:cstheme="minorBidi"/>
          <w:spacing w:val="40"/>
          <w:sz w:val="16"/>
          <w:szCs w:val="16"/>
        </w:rPr>
        <w:t xml:space="preserve"> </w:t>
      </w:r>
      <w:r w:rsidRPr="008F532F">
        <w:rPr>
          <w:rFonts w:asciiTheme="minorBidi" w:hAnsiTheme="minorBidi" w:cstheme="minorBidi"/>
          <w:spacing w:val="-2"/>
          <w:sz w:val="16"/>
          <w:szCs w:val="16"/>
        </w:rPr>
        <w:t>https://doi.org/10.3390/horticulturae11020143</w:t>
      </w:r>
    </w:p>
    <w:p w14:paraId="05C5DA5F" w14:textId="7E714869" w:rsidR="005A6EFD" w:rsidRPr="009F2023" w:rsidRDefault="005A6EFD" w:rsidP="009F2023">
      <w:pPr>
        <w:spacing w:after="60" w:line="288" w:lineRule="auto"/>
        <w:rPr>
          <w:rFonts w:asciiTheme="minorBidi" w:hAnsiTheme="minorBidi" w:cstheme="minorBidi"/>
          <w:sz w:val="16"/>
          <w:szCs w:val="16"/>
        </w:rPr>
      </w:pPr>
    </w:p>
    <w:sectPr w:rsidR="005A6EFD" w:rsidRPr="009F2023" w:rsidSect="00F81A72">
      <w:type w:val="continuous"/>
      <w:pgSz w:w="11910" w:h="16840" w:code="9"/>
      <w:pgMar w:top="1077" w:right="1077" w:bottom="1077" w:left="107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97908" w14:textId="77777777" w:rsidR="00E360E0" w:rsidRDefault="00E360E0">
      <w:r>
        <w:separator/>
      </w:r>
    </w:p>
  </w:endnote>
  <w:endnote w:type="continuationSeparator" w:id="0">
    <w:p w14:paraId="32D98460" w14:textId="77777777" w:rsidR="00E360E0" w:rsidRDefault="00E3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Bidi" w:hAnsiTheme="minorBidi" w:cstheme="minorBidi"/>
        <w:sz w:val="14"/>
        <w:szCs w:val="14"/>
        <w:lang w:val="ar-SA"/>
      </w:rPr>
      <w:id w:val="1701058586"/>
      <w:docPartObj>
        <w:docPartGallery w:val="Page Numbers (Bottom of Page)"/>
        <w:docPartUnique/>
      </w:docPartObj>
    </w:sdtPr>
    <w:sdtEndPr/>
    <w:sdtContent>
      <w:p w14:paraId="3318D773" w14:textId="77EA886D" w:rsidR="008E1801" w:rsidRPr="008E1801" w:rsidRDefault="008E1801" w:rsidP="008E1801">
        <w:pPr>
          <w:pStyle w:val="Footer"/>
          <w:tabs>
            <w:tab w:val="clear" w:pos="4513"/>
            <w:tab w:val="clear" w:pos="9026"/>
          </w:tabs>
          <w:jc w:val="right"/>
          <w:rPr>
            <w:rFonts w:asciiTheme="minorBidi" w:hAnsiTheme="minorBidi" w:cstheme="minorBidi"/>
            <w:sz w:val="14"/>
            <w:szCs w:val="14"/>
          </w:rPr>
        </w:pPr>
        <w:r w:rsidRPr="008E1801">
          <w:rPr>
            <w:rFonts w:asciiTheme="minorBidi" w:hAnsiTheme="minorBidi" w:cstheme="minorBidi"/>
            <w:sz w:val="14"/>
            <w:szCs w:val="14"/>
          </w:rPr>
          <w:fldChar w:fldCharType="begin"/>
        </w:r>
        <w:r w:rsidRPr="008E1801">
          <w:rPr>
            <w:rFonts w:asciiTheme="minorBidi" w:hAnsiTheme="minorBidi" w:cstheme="minorBidi"/>
            <w:sz w:val="14"/>
            <w:szCs w:val="14"/>
          </w:rPr>
          <w:instrText>PAGE   \* MERGEFORMAT</w:instrText>
        </w:r>
        <w:r w:rsidRPr="008E1801">
          <w:rPr>
            <w:rFonts w:asciiTheme="minorBidi" w:hAnsiTheme="minorBidi" w:cstheme="minorBidi"/>
            <w:sz w:val="14"/>
            <w:szCs w:val="14"/>
          </w:rPr>
          <w:fldChar w:fldCharType="separate"/>
        </w:r>
        <w:r w:rsidR="000D4AB5">
          <w:rPr>
            <w:rFonts w:asciiTheme="minorBidi" w:hAnsiTheme="minorBidi" w:cstheme="minorBidi"/>
            <w:noProof/>
            <w:sz w:val="14"/>
            <w:szCs w:val="14"/>
          </w:rPr>
          <w:t>2</w:t>
        </w:r>
        <w:r w:rsidRPr="008E1801">
          <w:rPr>
            <w:rFonts w:asciiTheme="minorBidi" w:hAnsiTheme="minorBidi" w:cstheme="minorBidi"/>
            <w:sz w:val="14"/>
            <w:szCs w:val="14"/>
          </w:rPr>
          <w:fldChar w:fldCharType="end"/>
        </w:r>
      </w:p>
    </w:sdtContent>
  </w:sdt>
  <w:p w14:paraId="183903B1" w14:textId="46331FB2" w:rsidR="008E1801" w:rsidRPr="008E1801" w:rsidRDefault="008E1801" w:rsidP="008E1801">
    <w:pPr>
      <w:pStyle w:val="Footer"/>
      <w:tabs>
        <w:tab w:val="clear" w:pos="4513"/>
        <w:tab w:val="clear" w:pos="9026"/>
      </w:tabs>
      <w:jc w:val="right"/>
      <w:rPr>
        <w:rFonts w:asciiTheme="minorBidi" w:hAnsiTheme="minorBidi" w:cstheme="minorBidi"/>
        <w:sz w:val="14"/>
        <w:szCs w:val="14"/>
      </w:rPr>
    </w:pPr>
    <w:r w:rsidRPr="008E1801">
      <w:rPr>
        <w:rFonts w:asciiTheme="minorBidi" w:hAnsiTheme="minorBidi" w:cstheme="minorBidi"/>
        <w:sz w:val="14"/>
        <w:szCs w:val="14"/>
      </w:rPr>
      <w:t>Published: An-Najah National University, Nablus, Palestine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Bidi" w:hAnsiTheme="minorBidi" w:cstheme="minorBidi"/>
        <w:sz w:val="14"/>
        <w:szCs w:val="14"/>
        <w:lang w:val="ar-SA"/>
      </w:rPr>
      <w:id w:val="-145279501"/>
      <w:docPartObj>
        <w:docPartGallery w:val="Page Numbers (Bottom of Page)"/>
        <w:docPartUnique/>
      </w:docPartObj>
    </w:sdtPr>
    <w:sdtEndPr/>
    <w:sdtContent>
      <w:p w14:paraId="61752A8A" w14:textId="11945A8A" w:rsidR="008E1801" w:rsidRPr="008E1801" w:rsidRDefault="008E1801" w:rsidP="008E1801">
        <w:pPr>
          <w:pStyle w:val="Footer"/>
          <w:tabs>
            <w:tab w:val="clear" w:pos="4513"/>
            <w:tab w:val="clear" w:pos="9026"/>
          </w:tabs>
          <w:jc w:val="right"/>
          <w:rPr>
            <w:rFonts w:asciiTheme="minorBidi" w:hAnsiTheme="minorBidi" w:cstheme="minorBidi"/>
            <w:sz w:val="14"/>
            <w:szCs w:val="14"/>
          </w:rPr>
        </w:pPr>
        <w:r w:rsidRPr="008E1801">
          <w:rPr>
            <w:rFonts w:asciiTheme="minorBidi" w:hAnsiTheme="minorBidi" w:cstheme="minorBidi"/>
            <w:sz w:val="14"/>
            <w:szCs w:val="14"/>
          </w:rPr>
          <w:fldChar w:fldCharType="begin"/>
        </w:r>
        <w:r w:rsidRPr="008E1801">
          <w:rPr>
            <w:rFonts w:asciiTheme="minorBidi" w:hAnsiTheme="minorBidi" w:cstheme="minorBidi"/>
            <w:sz w:val="14"/>
            <w:szCs w:val="14"/>
          </w:rPr>
          <w:instrText>PAGE   \* MERGEFORMAT</w:instrText>
        </w:r>
        <w:r w:rsidRPr="008E1801">
          <w:rPr>
            <w:rFonts w:asciiTheme="minorBidi" w:hAnsiTheme="minorBidi" w:cstheme="minorBidi"/>
            <w:sz w:val="14"/>
            <w:szCs w:val="14"/>
          </w:rPr>
          <w:fldChar w:fldCharType="separate"/>
        </w:r>
        <w:r w:rsidR="000D4AB5">
          <w:rPr>
            <w:rFonts w:asciiTheme="minorBidi" w:hAnsiTheme="minorBidi" w:cstheme="minorBidi"/>
            <w:noProof/>
            <w:sz w:val="14"/>
            <w:szCs w:val="14"/>
          </w:rPr>
          <w:t>1</w:t>
        </w:r>
        <w:r w:rsidRPr="008E1801">
          <w:rPr>
            <w:rFonts w:asciiTheme="minorBidi" w:hAnsiTheme="minorBidi" w:cstheme="minorBidi"/>
            <w:sz w:val="14"/>
            <w:szCs w:val="14"/>
          </w:rPr>
          <w:fldChar w:fldCharType="end"/>
        </w:r>
      </w:p>
    </w:sdtContent>
  </w:sdt>
  <w:p w14:paraId="66EDEBC3" w14:textId="1ADFA788" w:rsidR="008E1801" w:rsidRPr="008E1801" w:rsidRDefault="008E1801" w:rsidP="008E1801">
    <w:pPr>
      <w:pStyle w:val="Footer"/>
      <w:tabs>
        <w:tab w:val="clear" w:pos="4513"/>
        <w:tab w:val="clear" w:pos="9026"/>
      </w:tabs>
      <w:jc w:val="right"/>
      <w:rPr>
        <w:rFonts w:asciiTheme="minorBidi" w:hAnsiTheme="minorBidi" w:cstheme="minorBidi"/>
        <w:sz w:val="14"/>
        <w:szCs w:val="14"/>
      </w:rPr>
    </w:pPr>
    <w:r w:rsidRPr="008E1801">
      <w:rPr>
        <w:rFonts w:asciiTheme="minorBidi" w:hAnsiTheme="minorBidi" w:cstheme="minorBidi"/>
        <w:sz w:val="14"/>
        <w:szCs w:val="14"/>
      </w:rPr>
      <w:t>Published: An-Najah National University, Nablus, Palestine</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7415A" w14:textId="77777777" w:rsidR="00FF2F8D" w:rsidRDefault="00FF2F8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9F981" w14:textId="77777777" w:rsidR="00E360E0" w:rsidRDefault="00E360E0">
      <w:r>
        <w:separator/>
      </w:r>
    </w:p>
  </w:footnote>
  <w:footnote w:type="continuationSeparator" w:id="0">
    <w:p w14:paraId="4B7B0F83" w14:textId="77777777" w:rsidR="00E360E0" w:rsidRDefault="00E360E0">
      <w:r>
        <w:continuationSeparator/>
      </w:r>
    </w:p>
  </w:footnote>
  <w:footnote w:id="1">
    <w:p w14:paraId="312A9355" w14:textId="00BDC124" w:rsidR="00FF2F8D" w:rsidRDefault="00FF2F8D" w:rsidP="009F2023">
      <w:pPr>
        <w:pStyle w:val="FootnoteText"/>
        <w:rPr>
          <w:rFonts w:asciiTheme="minorBidi" w:hAnsiTheme="minorBidi" w:cstheme="minorBidi"/>
          <w:sz w:val="14"/>
          <w:szCs w:val="14"/>
          <w:lang w:val="it-IT"/>
        </w:rPr>
      </w:pPr>
      <w:r w:rsidRPr="00F81A72">
        <w:rPr>
          <w:rStyle w:val="FootnoteReference"/>
          <w:rFonts w:asciiTheme="minorBidi" w:hAnsiTheme="minorBidi" w:cstheme="minorBidi"/>
          <w:sz w:val="14"/>
          <w:szCs w:val="14"/>
          <w:vertAlign w:val="baseline"/>
        </w:rPr>
        <w:footnoteRef/>
      </w:r>
      <w:r w:rsidRPr="00F81A72">
        <w:rPr>
          <w:rFonts w:asciiTheme="minorBidi" w:hAnsiTheme="minorBidi" w:cstheme="minorBidi"/>
          <w:sz w:val="14"/>
          <w:szCs w:val="14"/>
        </w:rPr>
        <w:t xml:space="preserve"> </w:t>
      </w:r>
      <w:r w:rsidR="00A90C3B" w:rsidRPr="00F81A72">
        <w:rPr>
          <w:rFonts w:asciiTheme="minorBidi" w:hAnsiTheme="minorBidi" w:cstheme="minorBidi"/>
          <w:sz w:val="14"/>
          <w:szCs w:val="14"/>
          <w:lang w:val="it-IT"/>
        </w:rPr>
        <w:t>CREA, Research Centre for Vegetable and Ornamental Crops, Via Dei Fiori 8, 51012 Pescia, Italy</w:t>
      </w:r>
      <w:r w:rsidR="009F2023">
        <w:rPr>
          <w:rFonts w:asciiTheme="minorBidi" w:hAnsiTheme="minorBidi" w:cstheme="minorBidi"/>
          <w:sz w:val="14"/>
          <w:szCs w:val="14"/>
          <w:lang w:val="it-IT"/>
        </w:rPr>
        <w:t xml:space="preserve">. </w:t>
      </w:r>
    </w:p>
    <w:p w14:paraId="0AA729F2" w14:textId="53397844" w:rsidR="009F2023" w:rsidRPr="009F2023" w:rsidRDefault="009F2023" w:rsidP="009F2023">
      <w:pPr>
        <w:pStyle w:val="FootnoteText"/>
        <w:rPr>
          <w:rFonts w:asciiTheme="minorBidi" w:hAnsiTheme="minorBidi" w:cstheme="minorBidi"/>
          <w:sz w:val="14"/>
          <w:szCs w:val="14"/>
          <w:lang w:val="it-IT"/>
        </w:rPr>
      </w:pPr>
      <w:r>
        <w:rPr>
          <w:rFonts w:asciiTheme="minorBidi" w:hAnsiTheme="minorBidi" w:cstheme="minorBidi"/>
          <w:sz w:val="14"/>
          <w:szCs w:val="14"/>
        </w:rPr>
        <w:t xml:space="preserve">* </w:t>
      </w:r>
      <w:r w:rsidRPr="00F81A72">
        <w:rPr>
          <w:rFonts w:asciiTheme="minorBidi" w:hAnsiTheme="minorBidi" w:cstheme="minorBidi"/>
          <w:sz w:val="14"/>
          <w:szCs w:val="14"/>
        </w:rPr>
        <w:t>Corresponding author email: domenico.prisa@crea.gov.it</w:t>
      </w:r>
    </w:p>
    <w:p w14:paraId="6372B5AC" w14:textId="017A6933" w:rsidR="00FF2F8D" w:rsidRPr="00F81A72" w:rsidRDefault="00FF2F8D" w:rsidP="009F2023">
      <w:pPr>
        <w:pStyle w:val="FootnoteText"/>
        <w:rPr>
          <w:rFonts w:asciiTheme="minorBidi" w:hAnsiTheme="minorBidi" w:cstheme="minorBidi"/>
          <w:sz w:val="14"/>
          <w:szCs w:val="14"/>
        </w:rPr>
      </w:pPr>
      <w:r w:rsidRPr="00F81A72">
        <w:rPr>
          <w:rFonts w:asciiTheme="minorBidi" w:hAnsiTheme="minorBidi" w:cstheme="minorBidi"/>
          <w:sz w:val="14"/>
          <w:szCs w:val="14"/>
        </w:rPr>
        <w:t xml:space="preserve">2 </w:t>
      </w:r>
      <w:r w:rsidR="00A90C3B" w:rsidRPr="00F81A72">
        <w:rPr>
          <w:rFonts w:asciiTheme="minorBidi" w:hAnsiTheme="minorBidi" w:cstheme="minorBidi"/>
          <w:sz w:val="14"/>
          <w:szCs w:val="14"/>
        </w:rPr>
        <w:t>Department of Soil and Environmental Sciences, Faculty of Crop Production Sciences, The University of Agriculture, Peshawar 25130, Pakistan</w:t>
      </w:r>
      <w:r w:rsidR="009F2023">
        <w:rPr>
          <w:rFonts w:asciiTheme="minorBidi" w:hAnsiTheme="minorBidi" w:cstheme="minorBidi"/>
          <w:sz w:val="14"/>
          <w:szCs w:val="14"/>
        </w:rPr>
        <w:t xml:space="preserve">. </w:t>
      </w:r>
      <w:r w:rsidR="009F2023" w:rsidRPr="009F2023">
        <w:rPr>
          <w:rFonts w:asciiTheme="minorBidi" w:hAnsiTheme="minorBidi" w:cstheme="minorBidi"/>
          <w:sz w:val="14"/>
          <w:szCs w:val="14"/>
        </w:rPr>
        <w:t>aftabses98@gmail.com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5078F" w14:textId="6BC01E69" w:rsidR="00FF2F8D" w:rsidRDefault="000D4AB5">
    <w:pPr>
      <w:pStyle w:val="Header"/>
    </w:pPr>
    <w:r>
      <w:rPr>
        <w:noProof/>
      </w:rPr>
      <w:pict w14:anchorId="0419C5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5657" o:spid="_x0000_s2050" type="#_x0000_t136" style="position:absolute;margin-left:0;margin-top:0;width:550.2pt;height:137.55pt;rotation:315;z-index:-251655168;mso-position-horizontal:center;mso-position-horizontal-relative:margin;mso-position-vertical:center;mso-position-vertical-relative:margin" o:allowincell="f" fillcolor="#95b3d7 [1940]" stroked="f">
          <v:fill opacity=".5"/>
          <v:textpath style="font-family:&quot;Microsoft Sans Serif&quot;;font-size:1pt" string="ACCEPTE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91569" w14:textId="18A93088" w:rsidR="00FF2F8D" w:rsidRDefault="000D4AB5">
    <w:pPr>
      <w:pStyle w:val="Header"/>
    </w:pPr>
    <w:r>
      <w:rPr>
        <w:noProof/>
      </w:rPr>
      <w:pict w14:anchorId="6DF630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5658" o:spid="_x0000_s2051" type="#_x0000_t136" style="position:absolute;margin-left:0;margin-top:0;width:550.2pt;height:137.55pt;rotation:315;z-index:-251653120;mso-position-horizontal:center;mso-position-horizontal-relative:margin;mso-position-vertical:center;mso-position-vertical-relative:margin" o:allowincell="f" fillcolor="#95b3d7 [1940]" stroked="f">
          <v:fill opacity=".5"/>
          <v:textpath style="font-family:&quot;Microsoft Sans Serif&quot;;font-size:1pt" string="ACCEPTED"/>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C5BDF" w14:textId="64DF1C91" w:rsidR="00FF2F8D" w:rsidRDefault="000D4AB5">
    <w:pPr>
      <w:pStyle w:val="Header"/>
    </w:pPr>
    <w:r>
      <w:rPr>
        <w:noProof/>
      </w:rPr>
      <w:pict w14:anchorId="4F9010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5656" o:spid="_x0000_s2049" type="#_x0000_t136" style="position:absolute;margin-left:0;margin-top:0;width:550.2pt;height:137.55pt;rotation:315;z-index:-251657216;mso-position-horizontal:center;mso-position-horizontal-relative:margin;mso-position-vertical:center;mso-position-vertical-relative:margin" o:allowincell="f" fillcolor="#95b3d7 [1940]" stroked="f">
          <v:fill opacity=".5"/>
          <v:textpath style="font-family:&quot;Microsoft Sans Serif&quot;;font-size:1pt" string="ACCEPTED"/>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22225"/>
    <w:multiLevelType w:val="hybridMultilevel"/>
    <w:tmpl w:val="4E72E548"/>
    <w:lvl w:ilvl="0" w:tplc="BEC86FE4">
      <w:numFmt w:val="bullet"/>
      <w:lvlText w:val="–"/>
      <w:lvlJc w:val="left"/>
      <w:pPr>
        <w:ind w:left="372" w:hanging="132"/>
      </w:pPr>
      <w:rPr>
        <w:rFonts w:ascii="Microsoft Sans Serif" w:eastAsia="Microsoft Sans Serif" w:hAnsi="Microsoft Sans Serif" w:cs="Microsoft Sans Serif" w:hint="default"/>
        <w:b w:val="0"/>
        <w:bCs w:val="0"/>
        <w:i w:val="0"/>
        <w:iCs w:val="0"/>
        <w:spacing w:val="0"/>
        <w:w w:val="189"/>
        <w:sz w:val="16"/>
        <w:szCs w:val="16"/>
        <w:lang w:val="en-US" w:eastAsia="en-US" w:bidi="ar-SA"/>
      </w:rPr>
    </w:lvl>
    <w:lvl w:ilvl="1" w:tplc="E4148D66">
      <w:numFmt w:val="bullet"/>
      <w:lvlText w:val="•"/>
      <w:lvlJc w:val="left"/>
      <w:pPr>
        <w:ind w:left="839" w:hanging="132"/>
      </w:pPr>
      <w:rPr>
        <w:rFonts w:hint="default"/>
        <w:lang w:val="en-US" w:eastAsia="en-US" w:bidi="ar-SA"/>
      </w:rPr>
    </w:lvl>
    <w:lvl w:ilvl="2" w:tplc="14E01B52">
      <w:numFmt w:val="bullet"/>
      <w:lvlText w:val="•"/>
      <w:lvlJc w:val="left"/>
      <w:pPr>
        <w:ind w:left="1298" w:hanging="132"/>
      </w:pPr>
      <w:rPr>
        <w:rFonts w:hint="default"/>
        <w:lang w:val="en-US" w:eastAsia="en-US" w:bidi="ar-SA"/>
      </w:rPr>
    </w:lvl>
    <w:lvl w:ilvl="3" w:tplc="804A3154">
      <w:numFmt w:val="bullet"/>
      <w:lvlText w:val="•"/>
      <w:lvlJc w:val="left"/>
      <w:pPr>
        <w:ind w:left="1758" w:hanging="132"/>
      </w:pPr>
      <w:rPr>
        <w:rFonts w:hint="default"/>
        <w:lang w:val="en-US" w:eastAsia="en-US" w:bidi="ar-SA"/>
      </w:rPr>
    </w:lvl>
    <w:lvl w:ilvl="4" w:tplc="F0D851DC">
      <w:numFmt w:val="bullet"/>
      <w:lvlText w:val="•"/>
      <w:lvlJc w:val="left"/>
      <w:pPr>
        <w:ind w:left="2217" w:hanging="132"/>
      </w:pPr>
      <w:rPr>
        <w:rFonts w:hint="default"/>
        <w:lang w:val="en-US" w:eastAsia="en-US" w:bidi="ar-SA"/>
      </w:rPr>
    </w:lvl>
    <w:lvl w:ilvl="5" w:tplc="D0782DEC">
      <w:numFmt w:val="bullet"/>
      <w:lvlText w:val="•"/>
      <w:lvlJc w:val="left"/>
      <w:pPr>
        <w:ind w:left="2677" w:hanging="132"/>
      </w:pPr>
      <w:rPr>
        <w:rFonts w:hint="default"/>
        <w:lang w:val="en-US" w:eastAsia="en-US" w:bidi="ar-SA"/>
      </w:rPr>
    </w:lvl>
    <w:lvl w:ilvl="6" w:tplc="449EC1B0">
      <w:numFmt w:val="bullet"/>
      <w:lvlText w:val="•"/>
      <w:lvlJc w:val="left"/>
      <w:pPr>
        <w:ind w:left="3136" w:hanging="132"/>
      </w:pPr>
      <w:rPr>
        <w:rFonts w:hint="default"/>
        <w:lang w:val="en-US" w:eastAsia="en-US" w:bidi="ar-SA"/>
      </w:rPr>
    </w:lvl>
    <w:lvl w:ilvl="7" w:tplc="301E3BF8">
      <w:numFmt w:val="bullet"/>
      <w:lvlText w:val="•"/>
      <w:lvlJc w:val="left"/>
      <w:pPr>
        <w:ind w:left="3596" w:hanging="132"/>
      </w:pPr>
      <w:rPr>
        <w:rFonts w:hint="default"/>
        <w:lang w:val="en-US" w:eastAsia="en-US" w:bidi="ar-SA"/>
      </w:rPr>
    </w:lvl>
    <w:lvl w:ilvl="8" w:tplc="1518822A">
      <w:numFmt w:val="bullet"/>
      <w:lvlText w:val="•"/>
      <w:lvlJc w:val="left"/>
      <w:pPr>
        <w:ind w:left="4055" w:hanging="132"/>
      </w:pPr>
      <w:rPr>
        <w:rFonts w:hint="default"/>
        <w:lang w:val="en-US" w:eastAsia="en-US" w:bidi="ar-SA"/>
      </w:rPr>
    </w:lvl>
  </w:abstractNum>
  <w:abstractNum w:abstractNumId="1" w15:restartNumberingAfterBreak="0">
    <w:nsid w:val="0D1D3D40"/>
    <w:multiLevelType w:val="hybridMultilevel"/>
    <w:tmpl w:val="29621D9E"/>
    <w:lvl w:ilvl="0" w:tplc="8098D744">
      <w:start w:val="1"/>
      <w:numFmt w:val="decimal"/>
      <w:lvlText w:val="%1)"/>
      <w:lvlJc w:val="left"/>
      <w:pPr>
        <w:ind w:left="732" w:hanging="360"/>
      </w:pPr>
      <w:rPr>
        <w:rFonts w:ascii="Microsoft Sans Serif" w:eastAsia="Microsoft Sans Serif" w:hAnsi="Microsoft Sans Serif" w:cs="Microsoft Sans Serif" w:hint="default"/>
        <w:b w:val="0"/>
        <w:bCs w:val="0"/>
        <w:i w:val="0"/>
        <w:iCs w:val="0"/>
        <w:spacing w:val="-2"/>
        <w:w w:val="99"/>
        <w:sz w:val="14"/>
        <w:szCs w:val="14"/>
        <w:lang w:val="en-US" w:eastAsia="en-US" w:bidi="ar-SA"/>
      </w:rPr>
    </w:lvl>
    <w:lvl w:ilvl="1" w:tplc="CB064170">
      <w:numFmt w:val="bullet"/>
      <w:lvlText w:val="•"/>
      <w:lvlJc w:val="left"/>
      <w:pPr>
        <w:ind w:left="1158" w:hanging="360"/>
      </w:pPr>
      <w:rPr>
        <w:rFonts w:hint="default"/>
        <w:lang w:val="en-US" w:eastAsia="en-US" w:bidi="ar-SA"/>
      </w:rPr>
    </w:lvl>
    <w:lvl w:ilvl="2" w:tplc="CE8C48A6">
      <w:numFmt w:val="bullet"/>
      <w:lvlText w:val="•"/>
      <w:lvlJc w:val="left"/>
      <w:pPr>
        <w:ind w:left="1577" w:hanging="360"/>
      </w:pPr>
      <w:rPr>
        <w:rFonts w:hint="default"/>
        <w:lang w:val="en-US" w:eastAsia="en-US" w:bidi="ar-SA"/>
      </w:rPr>
    </w:lvl>
    <w:lvl w:ilvl="3" w:tplc="625A90BC">
      <w:numFmt w:val="bullet"/>
      <w:lvlText w:val="•"/>
      <w:lvlJc w:val="left"/>
      <w:pPr>
        <w:ind w:left="1996" w:hanging="360"/>
      </w:pPr>
      <w:rPr>
        <w:rFonts w:hint="default"/>
        <w:lang w:val="en-US" w:eastAsia="en-US" w:bidi="ar-SA"/>
      </w:rPr>
    </w:lvl>
    <w:lvl w:ilvl="4" w:tplc="E4A6488C">
      <w:numFmt w:val="bullet"/>
      <w:lvlText w:val="•"/>
      <w:lvlJc w:val="left"/>
      <w:pPr>
        <w:ind w:left="2414" w:hanging="360"/>
      </w:pPr>
      <w:rPr>
        <w:rFonts w:hint="default"/>
        <w:lang w:val="en-US" w:eastAsia="en-US" w:bidi="ar-SA"/>
      </w:rPr>
    </w:lvl>
    <w:lvl w:ilvl="5" w:tplc="80B65A38">
      <w:numFmt w:val="bullet"/>
      <w:lvlText w:val="•"/>
      <w:lvlJc w:val="left"/>
      <w:pPr>
        <w:ind w:left="2833" w:hanging="360"/>
      </w:pPr>
      <w:rPr>
        <w:rFonts w:hint="default"/>
        <w:lang w:val="en-US" w:eastAsia="en-US" w:bidi="ar-SA"/>
      </w:rPr>
    </w:lvl>
    <w:lvl w:ilvl="6" w:tplc="9044F322">
      <w:numFmt w:val="bullet"/>
      <w:lvlText w:val="•"/>
      <w:lvlJc w:val="left"/>
      <w:pPr>
        <w:ind w:left="3252" w:hanging="360"/>
      </w:pPr>
      <w:rPr>
        <w:rFonts w:hint="default"/>
        <w:lang w:val="en-US" w:eastAsia="en-US" w:bidi="ar-SA"/>
      </w:rPr>
    </w:lvl>
    <w:lvl w:ilvl="7" w:tplc="2678401E">
      <w:numFmt w:val="bullet"/>
      <w:lvlText w:val="•"/>
      <w:lvlJc w:val="left"/>
      <w:pPr>
        <w:ind w:left="3671" w:hanging="360"/>
      </w:pPr>
      <w:rPr>
        <w:rFonts w:hint="default"/>
        <w:lang w:val="en-US" w:eastAsia="en-US" w:bidi="ar-SA"/>
      </w:rPr>
    </w:lvl>
    <w:lvl w:ilvl="8" w:tplc="40DC9BF8">
      <w:numFmt w:val="bullet"/>
      <w:lvlText w:val="•"/>
      <w:lvlJc w:val="left"/>
      <w:pPr>
        <w:ind w:left="4089" w:hanging="360"/>
      </w:pPr>
      <w:rPr>
        <w:rFonts w:hint="default"/>
        <w:lang w:val="en-US" w:eastAsia="en-US" w:bidi="ar-SA"/>
      </w:rPr>
    </w:lvl>
  </w:abstractNum>
  <w:abstractNum w:abstractNumId="2" w15:restartNumberingAfterBreak="0">
    <w:nsid w:val="25642DB5"/>
    <w:multiLevelType w:val="hybridMultilevel"/>
    <w:tmpl w:val="94667A0E"/>
    <w:lvl w:ilvl="0" w:tplc="D88E6C74">
      <w:start w:val="1"/>
      <w:numFmt w:val="decimal"/>
      <w:lvlText w:val="%1]"/>
      <w:lvlJc w:val="left"/>
      <w:pPr>
        <w:ind w:left="720" w:hanging="360"/>
      </w:pPr>
      <w:rPr>
        <w:rFonts w:asciiTheme="minorBidi" w:eastAsiaTheme="minorEastAsia" w:hAnsiTheme="minorBidi" w:cstheme="minorBidi" w:hint="default"/>
        <w:b w:val="0"/>
        <w:color w:val="212121"/>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A454A2"/>
    <w:multiLevelType w:val="hybridMultilevel"/>
    <w:tmpl w:val="06F89642"/>
    <w:lvl w:ilvl="0" w:tplc="45008AE8">
      <w:start w:val="2"/>
      <w:numFmt w:val="bullet"/>
      <w:lvlText w:val="–"/>
      <w:lvlJc w:val="left"/>
      <w:pPr>
        <w:ind w:left="360" w:hanging="360"/>
      </w:pPr>
      <w:rPr>
        <w:rFonts w:ascii="Times New Roman" w:eastAsia="Calibri" w:hAnsi="Times New Roman" w:cs="Times New Roman"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hyphenationZone w:val="283"/>
  <w:evenAndOddHeaders/>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EFD"/>
    <w:rsid w:val="000341EF"/>
    <w:rsid w:val="000D4AB5"/>
    <w:rsid w:val="001351E9"/>
    <w:rsid w:val="00287455"/>
    <w:rsid w:val="0036340A"/>
    <w:rsid w:val="0037288F"/>
    <w:rsid w:val="0038122B"/>
    <w:rsid w:val="00393EC6"/>
    <w:rsid w:val="005A6EFD"/>
    <w:rsid w:val="005C4E06"/>
    <w:rsid w:val="00624BD3"/>
    <w:rsid w:val="00700DCD"/>
    <w:rsid w:val="0073570D"/>
    <w:rsid w:val="007B111A"/>
    <w:rsid w:val="00867A6D"/>
    <w:rsid w:val="008C2AF2"/>
    <w:rsid w:val="008D3668"/>
    <w:rsid w:val="008E1801"/>
    <w:rsid w:val="008F532F"/>
    <w:rsid w:val="00901D8C"/>
    <w:rsid w:val="00966207"/>
    <w:rsid w:val="00985C6C"/>
    <w:rsid w:val="009F2023"/>
    <w:rsid w:val="00A90C3B"/>
    <w:rsid w:val="00AA306A"/>
    <w:rsid w:val="00B13AD6"/>
    <w:rsid w:val="00B277B4"/>
    <w:rsid w:val="00B67A8E"/>
    <w:rsid w:val="00BC108D"/>
    <w:rsid w:val="00C431B7"/>
    <w:rsid w:val="00D15E3A"/>
    <w:rsid w:val="00E360E0"/>
    <w:rsid w:val="00F81A72"/>
    <w:rsid w:val="00FF2F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888DA3"/>
  <w15:docId w15:val="{12981377-B8A9-4E57-AC7B-37738292F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ind w:left="372"/>
      <w:outlineLvl w:val="0"/>
    </w:pPr>
    <w:rPr>
      <w:rFonts w:ascii="Arial" w:eastAsia="Arial" w:hAnsi="Arial" w:cs="Arial"/>
      <w:b/>
      <w:bCs/>
      <w:sz w:val="20"/>
      <w:szCs w:val="20"/>
    </w:rPr>
  </w:style>
  <w:style w:type="paragraph" w:styleId="Heading2">
    <w:name w:val="heading 2"/>
    <w:basedOn w:val="Normal"/>
    <w:uiPriority w:val="9"/>
    <w:unhideWhenUsed/>
    <w:qFormat/>
    <w:pPr>
      <w:ind w:left="372"/>
      <w:outlineLvl w:val="1"/>
    </w:pPr>
    <w:rPr>
      <w:rFonts w:ascii="Arial" w:eastAsia="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6"/>
      <w:szCs w:val="16"/>
    </w:rPr>
  </w:style>
  <w:style w:type="paragraph" w:styleId="Title">
    <w:name w:val="Title"/>
    <w:basedOn w:val="Normal"/>
    <w:uiPriority w:val="10"/>
    <w:qFormat/>
    <w:pPr>
      <w:spacing w:before="92"/>
      <w:ind w:left="372"/>
    </w:pPr>
    <w:rPr>
      <w:rFonts w:ascii="Calibri" w:eastAsia="Calibri" w:hAnsi="Calibri" w:cs="Calibri"/>
      <w:b/>
      <w:bCs/>
      <w:sz w:val="32"/>
      <w:szCs w:val="32"/>
    </w:rPr>
  </w:style>
  <w:style w:type="paragraph" w:styleId="ListParagraph">
    <w:name w:val="List Paragraph"/>
    <w:basedOn w:val="Normal"/>
    <w:uiPriority w:val="1"/>
    <w:qFormat/>
    <w:pPr>
      <w:ind w:left="732" w:right="87" w:hanging="360"/>
      <w:jc w:val="both"/>
    </w:pPr>
  </w:style>
  <w:style w:type="paragraph" w:customStyle="1" w:styleId="TableParagraph">
    <w:name w:val="Table Paragraph"/>
    <w:basedOn w:val="Normal"/>
    <w:uiPriority w:val="1"/>
    <w:qFormat/>
    <w:pPr>
      <w:spacing w:before="14"/>
      <w:ind w:left="13"/>
      <w:jc w:val="center"/>
    </w:pPr>
  </w:style>
  <w:style w:type="table" w:styleId="TableGrid">
    <w:name w:val="Table Grid"/>
    <w:basedOn w:val="TableNormal"/>
    <w:uiPriority w:val="59"/>
    <w:rsid w:val="005C4E06"/>
    <w:pPr>
      <w:widowControl/>
      <w:autoSpaceDE/>
      <w:autoSpaceDN/>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UAbstract">
    <w:name w:val="ANU_Abstract"/>
    <w:basedOn w:val="Normal"/>
    <w:qFormat/>
    <w:rsid w:val="005C4E06"/>
    <w:pPr>
      <w:widowControl/>
      <w:autoSpaceDE/>
      <w:autoSpaceDN/>
      <w:jc w:val="both"/>
    </w:pPr>
    <w:rPr>
      <w:rFonts w:ascii="Arial" w:eastAsiaTheme="minorHAnsi" w:hAnsi="Arial" w:cstheme="minorBidi"/>
      <w:sz w:val="16"/>
    </w:rPr>
  </w:style>
  <w:style w:type="paragraph" w:customStyle="1" w:styleId="ANUText">
    <w:name w:val="ANU_Text"/>
    <w:basedOn w:val="Normal"/>
    <w:link w:val="ANUTextChar"/>
    <w:qFormat/>
    <w:rsid w:val="0038122B"/>
    <w:pPr>
      <w:widowControl/>
      <w:autoSpaceDE/>
      <w:autoSpaceDN/>
      <w:spacing w:after="60" w:line="288" w:lineRule="auto"/>
      <w:ind w:firstLine="288"/>
      <w:jc w:val="both"/>
    </w:pPr>
    <w:rPr>
      <w:rFonts w:ascii="Arial" w:eastAsiaTheme="minorHAnsi" w:hAnsi="Arial" w:cstheme="minorBidi"/>
      <w:sz w:val="16"/>
    </w:rPr>
  </w:style>
  <w:style w:type="character" w:customStyle="1" w:styleId="ANUTextChar">
    <w:name w:val="ANU_Text Char"/>
    <w:basedOn w:val="DefaultParagraphFont"/>
    <w:link w:val="ANUText"/>
    <w:rsid w:val="0038122B"/>
    <w:rPr>
      <w:rFonts w:ascii="Arial" w:hAnsi="Arial"/>
      <w:sz w:val="16"/>
    </w:rPr>
  </w:style>
  <w:style w:type="character" w:styleId="Hyperlink">
    <w:name w:val="Hyperlink"/>
    <w:basedOn w:val="DefaultParagraphFont"/>
    <w:uiPriority w:val="99"/>
    <w:unhideWhenUsed/>
    <w:rsid w:val="008F532F"/>
    <w:rPr>
      <w:color w:val="0000FF" w:themeColor="hyperlink"/>
      <w:u w:val="single"/>
    </w:rPr>
  </w:style>
  <w:style w:type="character" w:customStyle="1" w:styleId="UnresolvedMention">
    <w:name w:val="Unresolved Mention"/>
    <w:basedOn w:val="DefaultParagraphFont"/>
    <w:uiPriority w:val="99"/>
    <w:semiHidden/>
    <w:unhideWhenUsed/>
    <w:rsid w:val="008F532F"/>
    <w:rPr>
      <w:color w:val="605E5C"/>
      <w:shd w:val="clear" w:color="auto" w:fill="E1DFDD"/>
    </w:rPr>
  </w:style>
  <w:style w:type="paragraph" w:styleId="Header">
    <w:name w:val="header"/>
    <w:basedOn w:val="Normal"/>
    <w:link w:val="HeaderChar"/>
    <w:uiPriority w:val="99"/>
    <w:unhideWhenUsed/>
    <w:rsid w:val="008E1801"/>
    <w:pPr>
      <w:tabs>
        <w:tab w:val="center" w:pos="4513"/>
        <w:tab w:val="right" w:pos="9026"/>
      </w:tabs>
    </w:pPr>
  </w:style>
  <w:style w:type="character" w:customStyle="1" w:styleId="HeaderChar">
    <w:name w:val="Header Char"/>
    <w:basedOn w:val="DefaultParagraphFont"/>
    <w:link w:val="Header"/>
    <w:uiPriority w:val="99"/>
    <w:rsid w:val="008E1801"/>
    <w:rPr>
      <w:rFonts w:ascii="Microsoft Sans Serif" w:eastAsia="Microsoft Sans Serif" w:hAnsi="Microsoft Sans Serif" w:cs="Microsoft Sans Serif"/>
    </w:rPr>
  </w:style>
  <w:style w:type="paragraph" w:styleId="Footer">
    <w:name w:val="footer"/>
    <w:basedOn w:val="Normal"/>
    <w:link w:val="FooterChar"/>
    <w:uiPriority w:val="99"/>
    <w:unhideWhenUsed/>
    <w:rsid w:val="008E1801"/>
    <w:pPr>
      <w:tabs>
        <w:tab w:val="center" w:pos="4513"/>
        <w:tab w:val="right" w:pos="9026"/>
      </w:tabs>
    </w:pPr>
  </w:style>
  <w:style w:type="character" w:customStyle="1" w:styleId="FooterChar">
    <w:name w:val="Footer Char"/>
    <w:basedOn w:val="DefaultParagraphFont"/>
    <w:link w:val="Footer"/>
    <w:uiPriority w:val="99"/>
    <w:rsid w:val="008E1801"/>
    <w:rPr>
      <w:rFonts w:ascii="Microsoft Sans Serif" w:eastAsia="Microsoft Sans Serif" w:hAnsi="Microsoft Sans Serif" w:cs="Microsoft Sans Serif"/>
    </w:rPr>
  </w:style>
  <w:style w:type="paragraph" w:styleId="FootnoteText">
    <w:name w:val="footnote text"/>
    <w:basedOn w:val="Normal"/>
    <w:link w:val="FootnoteTextChar"/>
    <w:uiPriority w:val="99"/>
    <w:semiHidden/>
    <w:unhideWhenUsed/>
    <w:rsid w:val="00FF2F8D"/>
    <w:rPr>
      <w:sz w:val="20"/>
      <w:szCs w:val="20"/>
    </w:rPr>
  </w:style>
  <w:style w:type="character" w:customStyle="1" w:styleId="FootnoteTextChar">
    <w:name w:val="Footnote Text Char"/>
    <w:basedOn w:val="DefaultParagraphFont"/>
    <w:link w:val="FootnoteText"/>
    <w:uiPriority w:val="99"/>
    <w:semiHidden/>
    <w:rsid w:val="00FF2F8D"/>
    <w:rPr>
      <w:rFonts w:ascii="Microsoft Sans Serif" w:eastAsia="Microsoft Sans Serif" w:hAnsi="Microsoft Sans Serif" w:cs="Microsoft Sans Serif"/>
      <w:sz w:val="20"/>
      <w:szCs w:val="20"/>
    </w:rPr>
  </w:style>
  <w:style w:type="character" w:styleId="FootnoteReference">
    <w:name w:val="footnote reference"/>
    <w:basedOn w:val="DefaultParagraphFont"/>
    <w:uiPriority w:val="99"/>
    <w:semiHidden/>
    <w:unhideWhenUsed/>
    <w:rsid w:val="00FF2F8D"/>
    <w:rPr>
      <w:vertAlign w:val="superscript"/>
    </w:rPr>
  </w:style>
  <w:style w:type="paragraph" w:styleId="BalloonText">
    <w:name w:val="Balloon Text"/>
    <w:basedOn w:val="Normal"/>
    <w:link w:val="BalloonTextChar"/>
    <w:uiPriority w:val="99"/>
    <w:semiHidden/>
    <w:unhideWhenUsed/>
    <w:rsid w:val="00A90C3B"/>
    <w:rPr>
      <w:rFonts w:ascii="Tahoma" w:hAnsi="Tahoma" w:cs="Tahoma"/>
      <w:sz w:val="16"/>
      <w:szCs w:val="16"/>
    </w:rPr>
  </w:style>
  <w:style w:type="character" w:customStyle="1" w:styleId="BalloonTextChar">
    <w:name w:val="Balloon Text Char"/>
    <w:basedOn w:val="DefaultParagraphFont"/>
    <w:link w:val="BalloonText"/>
    <w:uiPriority w:val="99"/>
    <w:semiHidden/>
    <w:rsid w:val="00A90C3B"/>
    <w:rPr>
      <w:rFonts w:ascii="Tahoma" w:eastAsia="Microsoft Sans Serif"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yperlink" Target="https://doi.org/10.3390/ijms22168441" TargetMode="External"/><Relationship Id="rId39" Type="http://schemas.openxmlformats.org/officeDocument/2006/relationships/hyperlink" Target="https://doi.org/10.1002/eap.2325" TargetMode="External"/><Relationship Id="rId21" Type="http://schemas.openxmlformats.org/officeDocument/2006/relationships/hyperlink" Target="https://creativecommons.org/licenses/by-nc/4.0/" TargetMode="External"/><Relationship Id="rId34" Type="http://schemas.openxmlformats.org/officeDocument/2006/relationships/hyperlink" Target="https://doi.org/10.1016/j.biortech.2023.128756" TargetMode="External"/><Relationship Id="rId42" Type="http://schemas.openxmlformats.org/officeDocument/2006/relationships/hyperlink" Target="https://doi.org/10.19080/ARTOAJ.2019.22.556192" TargetMode="External"/><Relationship Id="rId47" Type="http://schemas.openxmlformats.org/officeDocument/2006/relationships/hyperlink" Target="https://doi.org/10.1146/annurev.arplant.59.032607.092911" TargetMode="External"/><Relationship Id="rId50" Type="http://schemas.openxmlformats.org/officeDocument/2006/relationships/hyperlink" Target="https://doi.org/10.1007/s42773-020-00065-z" TargetMode="External"/><Relationship Id="rId55" Type="http://schemas.openxmlformats.org/officeDocument/2006/relationships/hyperlink" Target="https://doi.org/10.1016/j.jclepro.2016.12.04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hyperlink" Target="https://doi.org/10.1016/j.smallrumres.2010.06.004" TargetMode="External"/><Relationship Id="rId11" Type="http://schemas.openxmlformats.org/officeDocument/2006/relationships/header" Target="header2.xml"/><Relationship Id="rId24" Type="http://schemas.openxmlformats.org/officeDocument/2006/relationships/hyperlink" Target="https://doi.org/10.1016/S0065-2113(04)84002-1" TargetMode="External"/><Relationship Id="rId32" Type="http://schemas.openxmlformats.org/officeDocument/2006/relationships/hyperlink" Target="https://doi.org/10.1007/978-3-030-29639-1_9" TargetMode="External"/><Relationship Id="rId37" Type="http://schemas.openxmlformats.org/officeDocument/2006/relationships/hyperlink" Target="https://doi.org/10.3389/fchem.2018.00052" TargetMode="External"/><Relationship Id="rId40" Type="http://schemas.openxmlformats.org/officeDocument/2006/relationships/hyperlink" Target="https://doi.org/10.2134/agronj2008.0033" TargetMode="External"/><Relationship Id="rId45" Type="http://schemas.openxmlformats.org/officeDocument/2006/relationships/hyperlink" Target="https://doi.org/10.1016/j.scitotenv.2024.171332" TargetMode="External"/><Relationship Id="rId53" Type="http://schemas.openxmlformats.org/officeDocument/2006/relationships/hyperlink" Target="https://doi.org/10.1139/cjss-2021-0029" TargetMode="External"/><Relationship Id="rId58" Type="http://schemas.openxmlformats.org/officeDocument/2006/relationships/hyperlink" Target="https://doi.org/10.1016/j.agee.2014.07.006"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6.jpeg"/><Relationship Id="rId14" Type="http://schemas.openxmlformats.org/officeDocument/2006/relationships/header" Target="header3.xml"/><Relationship Id="rId22" Type="http://schemas.openxmlformats.org/officeDocument/2006/relationships/hyperlink" Target="https://doi.org/10.1007/s10668-023-03470-z" TargetMode="External"/><Relationship Id="rId27" Type="http://schemas.openxmlformats.org/officeDocument/2006/relationships/hyperlink" Target="https://doi.org/10.33736/bjrst.5100.2023" TargetMode="External"/><Relationship Id="rId30" Type="http://schemas.openxmlformats.org/officeDocument/2006/relationships/hyperlink" Target="https://doi.org/10.3390/agronomy13051367" TargetMode="External"/><Relationship Id="rId35" Type="http://schemas.openxmlformats.org/officeDocument/2006/relationships/hyperlink" Target="https://doi.org/10.3161/150811007781694525" TargetMode="External"/><Relationship Id="rId43" Type="http://schemas.openxmlformats.org/officeDocument/2006/relationships/hyperlink" Target="https://doi.org/10.3390/plants13223204" TargetMode="External"/><Relationship Id="rId48" Type="http://schemas.openxmlformats.org/officeDocument/2006/relationships/hyperlink" Target="https://doi.org/10.3390/agronomy12071587" TargetMode="External"/><Relationship Id="rId56" Type="http://schemas.openxmlformats.org/officeDocument/2006/relationships/hyperlink" Target="https://doi.org/10.1007/s40011-020-01205-y" TargetMode="External"/><Relationship Id="rId8" Type="http://schemas.openxmlformats.org/officeDocument/2006/relationships/image" Target="media/image1.png"/><Relationship Id="rId51" Type="http://schemas.openxmlformats.org/officeDocument/2006/relationships/hyperlink" Target="https://doi.org/10.1016/j.envpol.2021.117290"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hyperlink" Target="https://doi.org/10.1016/j.jafr.2023.100893" TargetMode="External"/><Relationship Id="rId33" Type="http://schemas.openxmlformats.org/officeDocument/2006/relationships/hyperlink" Target="https://doi.org/10.3390/agriculture7030018" TargetMode="External"/><Relationship Id="rId38" Type="http://schemas.openxmlformats.org/officeDocument/2006/relationships/hyperlink" Target="https://doi.org/10.9734/ijecc/2024/v14i114541" TargetMode="External"/><Relationship Id="rId46" Type="http://schemas.openxmlformats.org/officeDocument/2006/relationships/hyperlink" Target="https://doi.org/10.1007/s11356-023-31119-x" TargetMode="External"/><Relationship Id="rId59" Type="http://schemas.openxmlformats.org/officeDocument/2006/relationships/hyperlink" Target="https://doi.org/10.3390/plants9060736" TargetMode="External"/><Relationship Id="rId20" Type="http://schemas.openxmlformats.org/officeDocument/2006/relationships/image" Target="media/image7.jpeg"/><Relationship Id="rId41" Type="http://schemas.openxmlformats.org/officeDocument/2006/relationships/hyperlink" Target="https://doi.org/10.5424/sjar/2008064-362" TargetMode="External"/><Relationship Id="rId54" Type="http://schemas.openxmlformats.org/officeDocument/2006/relationships/hyperlink" Target="https://doi.org/10.1016/j.crcon.2021.01.0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doi.org/10.1038/s41598-024-52425-5" TargetMode="External"/><Relationship Id="rId28" Type="http://schemas.openxmlformats.org/officeDocument/2006/relationships/hyperlink" Target="https://doi.org/10.1007/s13593-020-00645-0" TargetMode="External"/><Relationship Id="rId36" Type="http://schemas.openxmlformats.org/officeDocument/2006/relationships/hyperlink" Target="https://doi.org/10.1007/s13399-020-01005-4" TargetMode="External"/><Relationship Id="rId49" Type="http://schemas.openxmlformats.org/officeDocument/2006/relationships/hyperlink" Target="https://doi.org/10.1016/j.scitotenv.2024.171259" TargetMode="External"/><Relationship Id="rId57" Type="http://schemas.openxmlformats.org/officeDocument/2006/relationships/hyperlink" Target="https://doi.org/10.1007/s40011-020-01205-y" TargetMode="External"/><Relationship Id="rId10" Type="http://schemas.openxmlformats.org/officeDocument/2006/relationships/header" Target="header1.xml"/><Relationship Id="rId31" Type="http://schemas.openxmlformats.org/officeDocument/2006/relationships/hyperlink" Target="https://doi.org/10.1007/978-3-030-29639-1_9" TargetMode="External"/><Relationship Id="rId44" Type="http://schemas.openxmlformats.org/officeDocument/2006/relationships/hyperlink" Target="https://doi.org/10.1016/j.jas.2012.06.035" TargetMode="External"/><Relationship Id="rId52" Type="http://schemas.openxmlformats.org/officeDocument/2006/relationships/hyperlink" Target="https://doi.org/10.1017/S1742170516000417"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FE663-CAA8-495E-8722-EDD7A0325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6850</Words>
  <Characters>39047</Characters>
  <Application>Microsoft Office Word</Application>
  <DocSecurity>0</DocSecurity>
  <Lines>325</Lines>
  <Paragraphs>91</Paragraphs>
  <ScaleCrop>false</ScaleCrop>
  <HeadingPairs>
    <vt:vector size="6" baseType="variant">
      <vt:variant>
        <vt:lpstr>Title</vt:lpstr>
      </vt:variant>
      <vt:variant>
        <vt:i4>1</vt:i4>
      </vt:variant>
      <vt:variant>
        <vt:lpstr>Titolo</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45806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Domenico</dc:creator>
  <cp:lastModifiedBy>FUJI</cp:lastModifiedBy>
  <cp:revision>2</cp:revision>
  <cp:lastPrinted>2026-03-04T08:36:00Z</cp:lastPrinted>
  <dcterms:created xsi:type="dcterms:W3CDTF">2026-09-22T06:25:00Z</dcterms:created>
  <dcterms:modified xsi:type="dcterms:W3CDTF">2026-09-22T06:25:00Z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2026-01-22T00:00:00Z</vt:filetime>
  </property>
  <property fmtid="{D5CDD505-2E9C-101B-9397-08002B2CF9AE}" pid="3" name="Creator">
    <vt:lpwstr>Microsoft® Word 2010</vt:lpwstr>
  </property>
  <property fmtid="{D5CDD505-2E9C-101B-9397-08002B2CF9AE}" pid="4" name="LastSaved">
    <vt:filetime>2026-03-02T00:00:00Z</vt:filetime>
  </property>
  <property fmtid="{D5CDD505-2E9C-101B-9397-08002B2CF9AE}" pid="5" name="Producer">
    <vt:lpwstr>Microsoft® Word 2010</vt:lpwstr>
  </property>
</Properties>
</file>